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9A933" w14:textId="60FC43E6" w:rsidR="00E00211" w:rsidRPr="00105521" w:rsidRDefault="00E00211" w:rsidP="00E00211">
      <w:pPr>
        <w:spacing w:before="240" w:after="240" w:line="360" w:lineRule="auto"/>
        <w:jc w:val="both"/>
        <w:rPr>
          <w:rFonts w:ascii="Palatino Linotype" w:eastAsiaTheme="minorEastAsia" w:hAnsi="Palatino Linotype"/>
          <w:highlight w:val="yellow"/>
          <w:lang w:val="es-ES_tradnl"/>
        </w:rPr>
      </w:pPr>
      <w:r w:rsidRPr="00105521">
        <w:rPr>
          <w:rFonts w:ascii="Palatino Linotype" w:eastAsiaTheme="minorEastAsia" w:hAnsi="Palatino Linotype"/>
          <w:lang w:val="es-ES_tradnl"/>
        </w:rPr>
        <w:t xml:space="preserve">Resolución del Pleno del Instituto de Transparencia, Acceso a la Información Pública y Protección de Datos Personales del Estado de México y Municipios, con domicilio en Metepec, Estado de México; de </w:t>
      </w:r>
      <w:r w:rsidR="006D3290" w:rsidRPr="006D3290">
        <w:rPr>
          <w:rFonts w:ascii="Palatino Linotype" w:eastAsiaTheme="minorEastAsia" w:hAnsi="Palatino Linotype"/>
          <w:lang w:val="es-ES_tradnl"/>
        </w:rPr>
        <w:t>dieciséis de enero de dos mil diecinueve</w:t>
      </w:r>
      <w:r w:rsidR="006D3290">
        <w:rPr>
          <w:rFonts w:ascii="Palatino Linotype" w:eastAsiaTheme="minorEastAsia" w:hAnsi="Palatino Linotype"/>
          <w:lang w:val="es-ES_tradnl"/>
        </w:rPr>
        <w:t>.</w:t>
      </w:r>
    </w:p>
    <w:p w14:paraId="6ECCCF35" w14:textId="5215A74E" w:rsidR="00E00211" w:rsidRPr="00105521" w:rsidRDefault="00E00211" w:rsidP="00E00211">
      <w:pPr>
        <w:tabs>
          <w:tab w:val="left" w:pos="2835"/>
        </w:tabs>
        <w:spacing w:before="240" w:after="360" w:line="360" w:lineRule="auto"/>
        <w:jc w:val="both"/>
        <w:rPr>
          <w:rFonts w:ascii="Palatino Linotype" w:eastAsiaTheme="minorEastAsia" w:hAnsi="Palatino Linotype" w:cs="Arial"/>
          <w:b/>
          <w:bCs/>
          <w:lang w:val="es-ES_tradnl"/>
        </w:rPr>
      </w:pPr>
      <w:r w:rsidRPr="00105521">
        <w:rPr>
          <w:rFonts w:ascii="Palatino Linotype" w:eastAsiaTheme="minorEastAsia" w:hAnsi="Palatino Linotype"/>
          <w:b/>
          <w:lang w:val="es-ES_tradnl"/>
        </w:rPr>
        <w:t>VISTO</w:t>
      </w:r>
      <w:r>
        <w:rPr>
          <w:rFonts w:ascii="Palatino Linotype" w:eastAsiaTheme="minorEastAsia" w:hAnsi="Palatino Linotype"/>
          <w:lang w:val="es-ES_tradnl"/>
        </w:rPr>
        <w:t xml:space="preserve"> el</w:t>
      </w:r>
      <w:r w:rsidRPr="00105521">
        <w:rPr>
          <w:rFonts w:ascii="Palatino Linotype" w:eastAsiaTheme="minorEastAsia" w:hAnsi="Palatino Linotype"/>
          <w:lang w:val="es-ES_tradnl"/>
        </w:rPr>
        <w:t xml:space="preserve"> expediente electrónico formado</w:t>
      </w:r>
      <w:r>
        <w:rPr>
          <w:rFonts w:ascii="Palatino Linotype" w:eastAsiaTheme="minorEastAsia" w:hAnsi="Palatino Linotype"/>
          <w:lang w:val="es-ES_tradnl"/>
        </w:rPr>
        <w:t xml:space="preserve"> con motivo del recurso</w:t>
      </w:r>
      <w:r w:rsidRPr="00105521">
        <w:rPr>
          <w:rFonts w:ascii="Palatino Linotype" w:eastAsiaTheme="minorEastAsia" w:hAnsi="Palatino Linotype"/>
          <w:lang w:val="es-ES_tradnl"/>
        </w:rPr>
        <w:t xml:space="preserve"> de revisión </w:t>
      </w:r>
      <w:r>
        <w:rPr>
          <w:rFonts w:ascii="Palatino Linotype" w:eastAsiaTheme="minorEastAsia" w:hAnsi="Palatino Linotype" w:cs="Arial"/>
          <w:b/>
          <w:bCs/>
          <w:lang w:val="es-ES_tradnl"/>
        </w:rPr>
        <w:t>04549</w:t>
      </w:r>
      <w:r w:rsidRPr="00105521">
        <w:rPr>
          <w:rFonts w:ascii="Palatino Linotype" w:eastAsiaTheme="minorEastAsia" w:hAnsi="Palatino Linotype" w:cs="Arial"/>
          <w:b/>
          <w:bCs/>
          <w:lang w:val="es-ES_tradnl"/>
        </w:rPr>
        <w:t xml:space="preserve">/INFOEM/IP/RR/2018, </w:t>
      </w:r>
      <w:r w:rsidRPr="00105521">
        <w:rPr>
          <w:rFonts w:ascii="Palatino Linotype" w:eastAsiaTheme="minorEastAsia" w:hAnsi="Palatino Linotype"/>
          <w:lang w:val="es-ES_tradnl"/>
        </w:rPr>
        <w:t xml:space="preserve">promovido por </w:t>
      </w:r>
      <w:r w:rsidR="00487B81">
        <w:rPr>
          <w:rFonts w:ascii="Palatino Linotype" w:hAnsi="Palatino Linotype"/>
          <w:b/>
          <w:sz w:val="22"/>
          <w:szCs w:val="22"/>
          <w:lang w:val="es-ES_tradnl"/>
        </w:rPr>
        <w:t>XXXXXXX XXXXXXXXX XXXXX XXXXXX</w:t>
      </w:r>
      <w:r w:rsidR="00487B81" w:rsidRPr="00105521">
        <w:rPr>
          <w:rFonts w:ascii="Palatino Linotype" w:eastAsiaTheme="minorEastAsia" w:hAnsi="Palatino Linotype" w:cs="Arial"/>
          <w:lang w:val="es-ES_tradnl"/>
        </w:rPr>
        <w:t xml:space="preserve"> </w:t>
      </w:r>
      <w:r w:rsidRPr="00105521">
        <w:rPr>
          <w:rFonts w:ascii="Palatino Linotype" w:eastAsiaTheme="minorEastAsia" w:hAnsi="Palatino Linotype" w:cs="Arial"/>
          <w:lang w:val="es-ES_tradnl"/>
        </w:rPr>
        <w:t xml:space="preserve">en su calidad de </w:t>
      </w:r>
      <w:r w:rsidRPr="00105521">
        <w:rPr>
          <w:rFonts w:ascii="Palatino Linotype" w:eastAsiaTheme="minorEastAsia" w:hAnsi="Palatino Linotype" w:cs="Arial"/>
          <w:b/>
          <w:lang w:val="es-ES_tradnl"/>
        </w:rPr>
        <w:t>RECURRENTE</w:t>
      </w:r>
      <w:r w:rsidRPr="00105521">
        <w:rPr>
          <w:rFonts w:ascii="Palatino Linotype" w:eastAsiaTheme="minorEastAsia" w:hAnsi="Palatino Linotype" w:cs="Arial"/>
          <w:lang w:val="es-ES_tradnl"/>
        </w:rPr>
        <w:t xml:space="preserve">, en contra de la </w:t>
      </w:r>
      <w:r w:rsidR="001532AD">
        <w:rPr>
          <w:rFonts w:ascii="Palatino Linotype" w:eastAsiaTheme="minorEastAsia" w:hAnsi="Palatino Linotype" w:cs="Arial"/>
          <w:lang w:val="es-ES_tradnl"/>
        </w:rPr>
        <w:t xml:space="preserve">falta de </w:t>
      </w:r>
      <w:r w:rsidRPr="00105521">
        <w:rPr>
          <w:rFonts w:ascii="Palatino Linotype" w:eastAsiaTheme="minorEastAsia" w:hAnsi="Palatino Linotype" w:cs="Arial"/>
          <w:lang w:val="es-ES_tradnl"/>
        </w:rPr>
        <w:t xml:space="preserve">respuesta del </w:t>
      </w:r>
      <w:r>
        <w:rPr>
          <w:rFonts w:ascii="Palatino Linotype" w:eastAsiaTheme="minorEastAsia" w:hAnsi="Palatino Linotype" w:cs="Arial"/>
          <w:b/>
          <w:lang w:val="es-ES_tradnl"/>
        </w:rPr>
        <w:t xml:space="preserve">Ayuntamiento de </w:t>
      </w:r>
      <w:proofErr w:type="spellStart"/>
      <w:r>
        <w:rPr>
          <w:rFonts w:ascii="Palatino Linotype" w:eastAsiaTheme="minorEastAsia" w:hAnsi="Palatino Linotype" w:cs="Arial"/>
          <w:b/>
          <w:lang w:val="es-ES_tradnl"/>
        </w:rPr>
        <w:t>Nopaltepec</w:t>
      </w:r>
      <w:proofErr w:type="spellEnd"/>
      <w:r w:rsidRPr="00105521">
        <w:rPr>
          <w:rFonts w:ascii="Palatino Linotype" w:eastAsiaTheme="minorEastAsia" w:hAnsi="Palatino Linotype" w:cs="Arial"/>
          <w:lang w:val="es-ES_tradnl"/>
        </w:rPr>
        <w:t>,</w:t>
      </w:r>
      <w:r w:rsidRPr="00105521">
        <w:rPr>
          <w:rFonts w:ascii="Palatino Linotype" w:eastAsiaTheme="minorEastAsia" w:hAnsi="Palatino Linotype"/>
          <w:b/>
          <w:lang w:val="es-ES_tradnl"/>
        </w:rPr>
        <w:t xml:space="preserve"> </w:t>
      </w:r>
      <w:r w:rsidRPr="00105521">
        <w:rPr>
          <w:rFonts w:ascii="Palatino Linotype" w:eastAsiaTheme="minorEastAsia" w:hAnsi="Palatino Linotype"/>
          <w:lang w:val="es-ES_tradnl"/>
        </w:rPr>
        <w:t>en lo sucesivo el</w:t>
      </w:r>
      <w:r w:rsidRPr="00105521">
        <w:rPr>
          <w:rFonts w:ascii="Palatino Linotype" w:eastAsiaTheme="minorEastAsia" w:hAnsi="Palatino Linotype"/>
          <w:b/>
          <w:lang w:val="es-ES_tradnl"/>
        </w:rPr>
        <w:t xml:space="preserve"> SUJETO OBLIGADO, </w:t>
      </w:r>
      <w:r w:rsidRPr="00105521">
        <w:rPr>
          <w:rFonts w:ascii="Palatino Linotype" w:eastAsiaTheme="minorEastAsia" w:hAnsi="Palatino Linotype"/>
          <w:lang w:val="es-ES_tradnl"/>
        </w:rPr>
        <w:t>se procede a dictar la presente resolución, con base en los siguientes:</w:t>
      </w:r>
    </w:p>
    <w:p w14:paraId="4236219C" w14:textId="77777777" w:rsidR="00E00211" w:rsidRDefault="00E00211" w:rsidP="00E00211">
      <w:pPr>
        <w:keepNext/>
        <w:keepLines/>
        <w:spacing w:before="240" w:line="360" w:lineRule="auto"/>
        <w:jc w:val="center"/>
        <w:outlineLvl w:val="0"/>
        <w:rPr>
          <w:rFonts w:ascii="Palatino Linotype" w:eastAsiaTheme="majorEastAsia" w:hAnsi="Palatino Linotype" w:cstheme="majorBidi"/>
          <w:b/>
          <w:szCs w:val="32"/>
        </w:rPr>
      </w:pPr>
      <w:bookmarkStart w:id="0" w:name="_Toc531713033"/>
      <w:r w:rsidRPr="00105521">
        <w:rPr>
          <w:rFonts w:ascii="Palatino Linotype" w:eastAsiaTheme="majorEastAsia" w:hAnsi="Palatino Linotype" w:cstheme="majorBidi"/>
          <w:b/>
          <w:szCs w:val="32"/>
        </w:rPr>
        <w:t>ANTECEDENTES</w:t>
      </w:r>
      <w:bookmarkEnd w:id="0"/>
    </w:p>
    <w:p w14:paraId="31B4332B" w14:textId="77777777" w:rsidR="00E00211" w:rsidRPr="00105521" w:rsidRDefault="00E00211" w:rsidP="00E00211">
      <w:pPr>
        <w:keepNext/>
        <w:keepLines/>
        <w:spacing w:before="240" w:line="360" w:lineRule="auto"/>
        <w:jc w:val="center"/>
        <w:outlineLvl w:val="0"/>
        <w:rPr>
          <w:rFonts w:ascii="Palatino Linotype" w:eastAsiaTheme="majorEastAsia" w:hAnsi="Palatino Linotype" w:cstheme="majorBidi"/>
          <w:b/>
          <w:szCs w:val="32"/>
        </w:rPr>
      </w:pPr>
    </w:p>
    <w:p w14:paraId="691BB5C3" w14:textId="047B8C75" w:rsidR="00E00211" w:rsidRPr="003A4F48" w:rsidRDefault="00E00211" w:rsidP="00E00211">
      <w:pPr>
        <w:spacing w:before="240" w:after="240" w:line="360" w:lineRule="auto"/>
        <w:contextualSpacing/>
        <w:jc w:val="both"/>
        <w:rPr>
          <w:rFonts w:ascii="Palatino Linotype" w:eastAsia="Calibri" w:hAnsi="Palatino Linotype" w:cs="Arial"/>
        </w:rPr>
      </w:pPr>
      <w:r>
        <w:rPr>
          <w:rFonts w:ascii="Palatino Linotype" w:eastAsia="Calibri" w:hAnsi="Palatino Linotype" w:cs="Arial"/>
          <w:b/>
        </w:rPr>
        <w:t>Primero.</w:t>
      </w:r>
      <w:r w:rsidR="00926432">
        <w:rPr>
          <w:rFonts w:ascii="Palatino Linotype" w:eastAsia="Calibri" w:hAnsi="Palatino Linotype" w:cs="Arial"/>
          <w:b/>
        </w:rPr>
        <w:t xml:space="preserve"> Solicitud de acceso a la información.</w:t>
      </w:r>
      <w:r>
        <w:rPr>
          <w:rFonts w:ascii="Palatino Linotype" w:eastAsia="Calibri" w:hAnsi="Palatino Linotype" w:cs="Arial"/>
          <w:b/>
        </w:rPr>
        <w:t xml:space="preserve"> </w:t>
      </w:r>
      <w:r w:rsidRPr="003A4F48">
        <w:rPr>
          <w:rFonts w:ascii="Palatino Linotype" w:eastAsia="Calibri" w:hAnsi="Palatino Linotype" w:cs="Arial"/>
        </w:rPr>
        <w:t xml:space="preserve">El día </w:t>
      </w:r>
      <w:r>
        <w:rPr>
          <w:rFonts w:ascii="Palatino Linotype" w:eastAsia="Calibri" w:hAnsi="Palatino Linotype" w:cs="Arial"/>
          <w:b/>
        </w:rPr>
        <w:t xml:space="preserve">quince de octubre </w:t>
      </w:r>
      <w:r w:rsidRPr="003A4F48">
        <w:rPr>
          <w:rFonts w:ascii="Palatino Linotype" w:eastAsia="Calibri" w:hAnsi="Palatino Linotype" w:cs="Arial"/>
        </w:rPr>
        <w:t>de dos mil dieciocho,</w:t>
      </w:r>
      <w:r w:rsidRPr="003A4F48">
        <w:rPr>
          <w:rFonts w:ascii="Palatino Linotype" w:eastAsia="Calibri" w:hAnsi="Palatino Linotype"/>
        </w:rPr>
        <w:t xml:space="preserve"> </w:t>
      </w:r>
      <w:r>
        <w:rPr>
          <w:rFonts w:ascii="Palatino Linotype" w:eastAsia="Calibri" w:hAnsi="Palatino Linotype"/>
          <w:b/>
        </w:rPr>
        <w:t>la recurrente</w:t>
      </w:r>
      <w:r w:rsidRPr="003A4F48">
        <w:rPr>
          <w:rFonts w:ascii="Palatino Linotype" w:eastAsiaTheme="minorEastAsia" w:hAnsi="Palatino Linotype"/>
          <w:b/>
          <w:lang w:val="es-ES_tradnl"/>
        </w:rPr>
        <w:t xml:space="preserve"> </w:t>
      </w:r>
      <w:r w:rsidRPr="003A4F48">
        <w:rPr>
          <w:rFonts w:ascii="Palatino Linotype" w:eastAsiaTheme="minorEastAsia" w:hAnsi="Palatino Linotype"/>
          <w:lang w:val="es-ES_tradnl"/>
        </w:rPr>
        <w:t>presentó</w:t>
      </w:r>
      <w:r w:rsidRPr="003A4F48">
        <w:rPr>
          <w:rFonts w:ascii="Palatino Linotype" w:eastAsiaTheme="minorEastAsia" w:hAnsi="Palatino Linotype"/>
          <w:b/>
          <w:lang w:val="es-ES_tradnl"/>
        </w:rPr>
        <w:t xml:space="preserve"> </w:t>
      </w:r>
      <w:r w:rsidRPr="003A4F48">
        <w:rPr>
          <w:rFonts w:ascii="Palatino Linotype" w:eastAsia="Calibri" w:hAnsi="Palatino Linotype" w:cs="Arial"/>
        </w:rPr>
        <w:t xml:space="preserve">ante el </w:t>
      </w:r>
      <w:r w:rsidRPr="003A4F48">
        <w:rPr>
          <w:rFonts w:ascii="Palatino Linotype" w:eastAsia="Calibri" w:hAnsi="Palatino Linotype" w:cs="Arial"/>
          <w:b/>
        </w:rPr>
        <w:t>SUJETO OBLIGADO</w:t>
      </w:r>
      <w:r w:rsidRPr="003A4F48">
        <w:rPr>
          <w:rFonts w:ascii="Palatino Linotype" w:eastAsia="Calibri" w:hAnsi="Palatino Linotype" w:cs="Arial"/>
          <w:lang w:val="es-ES_tradnl"/>
        </w:rPr>
        <w:t xml:space="preserve"> vía </w:t>
      </w:r>
      <w:r w:rsidRPr="003A4F48">
        <w:rPr>
          <w:rFonts w:ascii="Palatino Linotype" w:eastAsia="Calibri" w:hAnsi="Palatino Linotype" w:cs="Arial"/>
        </w:rPr>
        <w:t xml:space="preserve">Sistema de Acceso a la Información Mexiquense </w:t>
      </w:r>
      <w:r w:rsidRPr="00202C28">
        <w:rPr>
          <w:rFonts w:ascii="Palatino Linotype" w:eastAsia="Calibri" w:hAnsi="Palatino Linotype" w:cs="Arial"/>
          <w:b/>
        </w:rPr>
        <w:t>(</w:t>
      </w:r>
      <w:r w:rsidRPr="003A4F48">
        <w:rPr>
          <w:rFonts w:ascii="Palatino Linotype" w:eastAsia="Calibri" w:hAnsi="Palatino Linotype" w:cs="Arial"/>
          <w:b/>
        </w:rPr>
        <w:t>SAIMEX)</w:t>
      </w:r>
      <w:r>
        <w:rPr>
          <w:rFonts w:ascii="Palatino Linotype" w:eastAsia="Calibri" w:hAnsi="Palatino Linotype" w:cs="Arial"/>
        </w:rPr>
        <w:t xml:space="preserve"> la solicitud</w:t>
      </w:r>
      <w:r w:rsidRPr="003A4F48">
        <w:rPr>
          <w:rFonts w:ascii="Palatino Linotype" w:eastAsia="Calibri" w:hAnsi="Palatino Linotype" w:cs="Arial"/>
        </w:rPr>
        <w:t xml:space="preserve"> de</w:t>
      </w:r>
      <w:r>
        <w:rPr>
          <w:rFonts w:ascii="Palatino Linotype" w:eastAsia="Calibri" w:hAnsi="Palatino Linotype" w:cs="Arial"/>
        </w:rPr>
        <w:t xml:space="preserve"> información pública registrada</w:t>
      </w:r>
      <w:r w:rsidRPr="003A4F48">
        <w:rPr>
          <w:rFonts w:ascii="Palatino Linotype" w:eastAsia="Calibri" w:hAnsi="Palatino Linotype" w:cs="Arial"/>
        </w:rPr>
        <w:t xml:space="preserve"> con </w:t>
      </w:r>
      <w:r>
        <w:rPr>
          <w:rFonts w:ascii="Palatino Linotype" w:eastAsia="Calibri" w:hAnsi="Palatino Linotype" w:cs="Arial"/>
        </w:rPr>
        <w:t>el número</w:t>
      </w:r>
      <w:r w:rsidRPr="003A4F48">
        <w:rPr>
          <w:rFonts w:ascii="Palatino Linotype" w:eastAsia="Calibri" w:hAnsi="Palatino Linotype" w:cs="Arial"/>
        </w:rPr>
        <w:t xml:space="preserve"> </w:t>
      </w:r>
      <w:r w:rsidRPr="0070555B">
        <w:rPr>
          <w:rFonts w:ascii="Palatino Linotype" w:eastAsia="Calibri" w:hAnsi="Palatino Linotype" w:cs="Arial"/>
          <w:b/>
        </w:rPr>
        <w:t>00028/NOPALTE/IP/2018</w:t>
      </w:r>
      <w:r w:rsidRPr="003A4F48">
        <w:rPr>
          <w:rFonts w:ascii="Palatino Linotype" w:eastAsiaTheme="minorEastAsia" w:hAnsi="Palatino Linotype"/>
          <w:b/>
          <w:bCs/>
          <w:lang w:val="es-ES_tradnl"/>
        </w:rPr>
        <w:t>;</w:t>
      </w:r>
      <w:r>
        <w:rPr>
          <w:rFonts w:ascii="Palatino Linotype" w:eastAsia="Calibri" w:hAnsi="Palatino Linotype" w:cs="Arial"/>
        </w:rPr>
        <w:t xml:space="preserve"> mediante la cual</w:t>
      </w:r>
      <w:r w:rsidRPr="003A4F48">
        <w:rPr>
          <w:rFonts w:ascii="Palatino Linotype" w:eastAsia="Calibri" w:hAnsi="Palatino Linotype" w:cs="Arial"/>
        </w:rPr>
        <w:t xml:space="preserve"> solicitó:</w:t>
      </w:r>
    </w:p>
    <w:p w14:paraId="6718DC12" w14:textId="77777777" w:rsidR="00E00211" w:rsidRPr="00105521" w:rsidRDefault="00E00211" w:rsidP="00E00211">
      <w:pPr>
        <w:spacing w:before="240" w:after="240" w:line="360" w:lineRule="auto"/>
        <w:ind w:left="426"/>
        <w:contextualSpacing/>
        <w:jc w:val="both"/>
        <w:rPr>
          <w:rFonts w:ascii="Palatino Linotype" w:eastAsia="Calibri" w:hAnsi="Palatino Linotype" w:cs="Arial"/>
        </w:rPr>
      </w:pPr>
    </w:p>
    <w:p w14:paraId="3FBF7D66" w14:textId="77777777" w:rsidR="00E00211" w:rsidRPr="0070555B" w:rsidRDefault="00E00211" w:rsidP="00E00211">
      <w:pPr>
        <w:ind w:left="567" w:right="567"/>
        <w:contextualSpacing/>
        <w:jc w:val="both"/>
        <w:rPr>
          <w:rFonts w:ascii="Palatino Linotype" w:eastAsia="Calibri" w:hAnsi="Palatino Linotype" w:cs="Arial"/>
          <w:b/>
          <w:i/>
        </w:rPr>
      </w:pPr>
      <w:r w:rsidRPr="0070555B">
        <w:rPr>
          <w:rFonts w:ascii="Palatino Linotype" w:hAnsi="Palatino Linotype"/>
          <w:i/>
          <w:color w:val="000000"/>
        </w:rPr>
        <w:t>“Requiero información pública del salario bruto y neto mensual que percibe el PRESIDENTE MUNICIPAL, SINDICO Y REGIDORES del municipio de NOPALTEPEC, esto con la finalidad de un trabajo de investigación de la Universidad”</w:t>
      </w:r>
      <w:r>
        <w:rPr>
          <w:rFonts w:ascii="Palatino Linotype" w:hAnsi="Palatino Linotype"/>
          <w:i/>
          <w:color w:val="000000"/>
        </w:rPr>
        <w:t xml:space="preserve"> </w:t>
      </w:r>
      <w:r w:rsidRPr="0070555B">
        <w:rPr>
          <w:rFonts w:ascii="Palatino Linotype" w:hAnsi="Palatino Linotype"/>
          <w:i/>
          <w:color w:val="000000"/>
        </w:rPr>
        <w:t>(sic)</w:t>
      </w:r>
      <w:r>
        <w:rPr>
          <w:rFonts w:ascii="Palatino Linotype" w:hAnsi="Palatino Linotype"/>
          <w:i/>
          <w:color w:val="000000"/>
        </w:rPr>
        <w:t>.</w:t>
      </w:r>
    </w:p>
    <w:p w14:paraId="303A8A3F" w14:textId="77777777" w:rsidR="00E00211" w:rsidRPr="00E6284B" w:rsidRDefault="00E00211" w:rsidP="00E00211">
      <w:pPr>
        <w:spacing w:line="360" w:lineRule="auto"/>
        <w:ind w:left="426" w:right="567"/>
        <w:jc w:val="both"/>
        <w:rPr>
          <w:rFonts w:ascii="Palatino Linotype" w:eastAsiaTheme="minorEastAsia" w:hAnsi="Palatino Linotype" w:cs="Arial"/>
          <w:b/>
          <w:lang w:val="es-ES_tradnl"/>
        </w:rPr>
      </w:pPr>
      <w:r>
        <w:rPr>
          <w:rFonts w:ascii="Palatino Linotype" w:eastAsia="Calibri" w:hAnsi="Palatino Linotype" w:cs="Arial"/>
          <w:b/>
        </w:rPr>
        <w:t xml:space="preserve"> </w:t>
      </w:r>
    </w:p>
    <w:p w14:paraId="50D664B5" w14:textId="77777777" w:rsidR="00E00211" w:rsidRPr="00105521" w:rsidRDefault="00E00211" w:rsidP="00E00211">
      <w:pPr>
        <w:spacing w:line="360" w:lineRule="auto"/>
        <w:ind w:right="34"/>
        <w:contextualSpacing/>
        <w:jc w:val="both"/>
        <w:rPr>
          <w:rFonts w:ascii="Palatino Linotype" w:eastAsiaTheme="minorEastAsia" w:hAnsi="Palatino Linotype" w:cs="Arial"/>
          <w:b/>
          <w:lang w:val="es-ES_tradnl"/>
        </w:rPr>
      </w:pPr>
      <w:r>
        <w:rPr>
          <w:rFonts w:ascii="Palatino Linotype" w:eastAsiaTheme="minorEastAsia" w:hAnsi="Palatino Linotype" w:cs="Arial"/>
          <w:lang w:val="es-ES_tradnl"/>
        </w:rPr>
        <w:t>S</w:t>
      </w:r>
      <w:r w:rsidRPr="00105521">
        <w:rPr>
          <w:rFonts w:ascii="Palatino Linotype" w:eastAsiaTheme="minorEastAsia" w:hAnsi="Palatino Linotype" w:cs="Arial"/>
          <w:lang w:val="es-ES_tradnl"/>
        </w:rPr>
        <w:t xml:space="preserve">eñaló como modalidad de entrega de la información: </w:t>
      </w:r>
      <w:r w:rsidRPr="00105521">
        <w:rPr>
          <w:rFonts w:ascii="Palatino Linotype" w:eastAsiaTheme="minorEastAsia" w:hAnsi="Palatino Linotype" w:cs="Arial"/>
          <w:b/>
          <w:lang w:val="es-ES_tradnl"/>
        </w:rPr>
        <w:t>a través del SAIMEX.</w:t>
      </w:r>
    </w:p>
    <w:p w14:paraId="4BE25B14" w14:textId="77777777" w:rsidR="00E00211" w:rsidRPr="00105521" w:rsidRDefault="00E00211" w:rsidP="00E00211">
      <w:pPr>
        <w:spacing w:line="360" w:lineRule="auto"/>
        <w:ind w:right="34"/>
        <w:contextualSpacing/>
        <w:jc w:val="both"/>
        <w:rPr>
          <w:rFonts w:ascii="Palatino Linotype" w:eastAsiaTheme="minorEastAsia" w:hAnsi="Palatino Linotype" w:cs="Arial"/>
          <w:lang w:val="es-ES_tradnl"/>
        </w:rPr>
      </w:pPr>
      <w:bookmarkStart w:id="1" w:name="_GoBack"/>
      <w:bookmarkEnd w:id="1"/>
    </w:p>
    <w:p w14:paraId="45CCFA9D" w14:textId="2AE89995" w:rsidR="00E00211" w:rsidRPr="002D54E7" w:rsidRDefault="00E00211" w:rsidP="00E00211">
      <w:pPr>
        <w:spacing w:before="240" w:after="240" w:line="360" w:lineRule="auto"/>
        <w:contextualSpacing/>
        <w:jc w:val="both"/>
        <w:rPr>
          <w:rFonts w:ascii="Palatino Linotype" w:hAnsi="Palatino Linotype"/>
          <w:b/>
          <w:i/>
        </w:rPr>
      </w:pPr>
      <w:r>
        <w:rPr>
          <w:rFonts w:ascii="Palatino Linotype" w:eastAsia="Calibri" w:hAnsi="Palatino Linotype" w:cs="Arial"/>
          <w:b/>
        </w:rPr>
        <w:lastRenderedPageBreak/>
        <w:t>Segundo.</w:t>
      </w:r>
      <w:r w:rsidR="00926432">
        <w:rPr>
          <w:rFonts w:ascii="Palatino Linotype" w:eastAsia="Calibri" w:hAnsi="Palatino Linotype" w:cs="Arial"/>
          <w:b/>
        </w:rPr>
        <w:t xml:space="preserve"> Respuesta.</w:t>
      </w:r>
      <w:r>
        <w:rPr>
          <w:rFonts w:ascii="Palatino Linotype" w:eastAsia="Calibri" w:hAnsi="Palatino Linotype" w:cs="Arial"/>
          <w:b/>
        </w:rPr>
        <w:t xml:space="preserve"> </w:t>
      </w:r>
      <w:r w:rsidRPr="00933AA2">
        <w:rPr>
          <w:rFonts w:ascii="Palatino Linotype" w:eastAsia="Calibri" w:hAnsi="Palatino Linotype" w:cs="Arial"/>
        </w:rPr>
        <w:t xml:space="preserve">EI </w:t>
      </w:r>
      <w:r w:rsidRPr="00933AA2">
        <w:rPr>
          <w:rFonts w:ascii="Palatino Linotype" w:eastAsia="Calibri" w:hAnsi="Palatino Linotype" w:cs="Arial"/>
          <w:b/>
        </w:rPr>
        <w:t>SUJETO OBLIGADO</w:t>
      </w:r>
      <w:r w:rsidRPr="00933AA2">
        <w:rPr>
          <w:rFonts w:ascii="Palatino Linotype" w:eastAsia="Calibri" w:hAnsi="Palatino Linotype" w:cs="Arial"/>
        </w:rPr>
        <w:t xml:space="preserve"> fue omiso en e</w:t>
      </w:r>
      <w:r w:rsidRPr="00933AA2">
        <w:rPr>
          <w:rFonts w:ascii="Palatino Linotype" w:hAnsi="Palatino Linotype" w:cs="Arial"/>
        </w:rPr>
        <w:t>mitir su</w:t>
      </w:r>
      <w:r>
        <w:rPr>
          <w:rFonts w:ascii="Palatino Linotype" w:hAnsi="Palatino Linotype" w:cs="Arial"/>
        </w:rPr>
        <w:t>s</w:t>
      </w:r>
      <w:r w:rsidRPr="00933AA2">
        <w:rPr>
          <w:rFonts w:ascii="Palatino Linotype" w:hAnsi="Palatino Linotype" w:cs="Arial"/>
        </w:rPr>
        <w:t xml:space="preserve"> respectiva</w:t>
      </w:r>
      <w:r>
        <w:rPr>
          <w:rFonts w:ascii="Palatino Linotype" w:hAnsi="Palatino Linotype" w:cs="Arial"/>
        </w:rPr>
        <w:t>s</w:t>
      </w:r>
      <w:r w:rsidRPr="00933AA2">
        <w:rPr>
          <w:rFonts w:ascii="Palatino Linotype" w:hAnsi="Palatino Linotype" w:cs="Arial"/>
        </w:rPr>
        <w:t xml:space="preserve"> respuesta</w:t>
      </w:r>
      <w:r>
        <w:rPr>
          <w:rFonts w:ascii="Palatino Linotype" w:hAnsi="Palatino Linotype" w:cs="Arial"/>
        </w:rPr>
        <w:t>s</w:t>
      </w:r>
      <w:r w:rsidRPr="00933AA2">
        <w:rPr>
          <w:rFonts w:ascii="Palatino Linotype" w:hAnsi="Palatino Linotype" w:cs="Arial"/>
        </w:rPr>
        <w:t xml:space="preserve"> a la</w:t>
      </w:r>
      <w:r>
        <w:rPr>
          <w:rFonts w:ascii="Palatino Linotype" w:hAnsi="Palatino Linotype" w:cs="Arial"/>
        </w:rPr>
        <w:t>s</w:t>
      </w:r>
      <w:r w:rsidRPr="00933AA2">
        <w:rPr>
          <w:rFonts w:ascii="Palatino Linotype" w:hAnsi="Palatino Linotype" w:cs="Arial"/>
        </w:rPr>
        <w:t xml:space="preserve"> solicitud</w:t>
      </w:r>
      <w:r>
        <w:rPr>
          <w:rFonts w:ascii="Palatino Linotype" w:hAnsi="Palatino Linotype" w:cs="Arial"/>
        </w:rPr>
        <w:t>es</w:t>
      </w:r>
      <w:r w:rsidRPr="00933AA2">
        <w:rPr>
          <w:rFonts w:ascii="Palatino Linotype" w:hAnsi="Palatino Linotype" w:cs="Arial"/>
        </w:rPr>
        <w:t xml:space="preserve"> de información presentada</w:t>
      </w:r>
      <w:r>
        <w:rPr>
          <w:rFonts w:ascii="Palatino Linotype" w:hAnsi="Palatino Linotype" w:cs="Arial"/>
        </w:rPr>
        <w:t>s</w:t>
      </w:r>
      <w:r w:rsidRPr="00933AA2">
        <w:rPr>
          <w:rFonts w:ascii="Palatino Linotype" w:hAnsi="Palatino Linotype" w:cs="Arial"/>
        </w:rPr>
        <w:t xml:space="preserve"> vía SAIMEX</w:t>
      </w:r>
      <w:r>
        <w:rPr>
          <w:rFonts w:ascii="Palatino Linotype" w:hAnsi="Palatino Linotype" w:cs="Arial"/>
        </w:rPr>
        <w:t>.</w:t>
      </w:r>
    </w:p>
    <w:p w14:paraId="63B72589" w14:textId="77777777" w:rsidR="00E00211" w:rsidRPr="0057343E" w:rsidRDefault="00E00211" w:rsidP="00E00211">
      <w:pPr>
        <w:spacing w:before="240" w:after="240" w:line="360" w:lineRule="auto"/>
        <w:ind w:left="426"/>
        <w:contextualSpacing/>
        <w:jc w:val="both"/>
        <w:rPr>
          <w:rFonts w:ascii="Palatino Linotype" w:hAnsi="Palatino Linotype"/>
          <w:b/>
          <w:i/>
        </w:rPr>
      </w:pPr>
    </w:p>
    <w:p w14:paraId="0427E412" w14:textId="61992E3C" w:rsidR="00E00211" w:rsidRPr="00E6284B" w:rsidRDefault="00E00211" w:rsidP="00E00211">
      <w:pPr>
        <w:spacing w:line="360" w:lineRule="auto"/>
        <w:contextualSpacing/>
        <w:jc w:val="both"/>
        <w:rPr>
          <w:rFonts w:ascii="Palatino Linotype" w:eastAsiaTheme="minorEastAsia" w:hAnsi="Palatino Linotype" w:cs="Arial"/>
          <w:i/>
          <w:lang w:val="es-ES_tradnl"/>
        </w:rPr>
      </w:pPr>
      <w:r>
        <w:rPr>
          <w:rFonts w:ascii="Palatino Linotype" w:eastAsia="Calibri" w:hAnsi="Palatino Linotype" w:cs="Arial"/>
          <w:b/>
          <w:lang w:val="es-AR"/>
        </w:rPr>
        <w:t xml:space="preserve">Tercero. </w:t>
      </w:r>
      <w:r w:rsidR="00926432" w:rsidRPr="005C4CA5">
        <w:rPr>
          <w:rFonts w:ascii="Palatino Linotype" w:hAnsi="Palatino Linotype" w:cs="Arial"/>
          <w:b/>
          <w:szCs w:val="28"/>
        </w:rPr>
        <w:t>Interposición del recurso de revisión.</w:t>
      </w:r>
      <w:r w:rsidR="00926432">
        <w:rPr>
          <w:rFonts w:ascii="Palatino Linotype" w:hAnsi="Palatino Linotype" w:cs="Arial"/>
          <w:b/>
          <w:szCs w:val="28"/>
        </w:rPr>
        <w:t xml:space="preserve"> </w:t>
      </w:r>
      <w:r w:rsidRPr="00105521">
        <w:rPr>
          <w:rFonts w:ascii="Palatino Linotype" w:eastAsia="Calibri" w:hAnsi="Palatino Linotype" w:cs="Arial"/>
          <w:lang w:val="es-AR"/>
        </w:rPr>
        <w:t xml:space="preserve">El día </w:t>
      </w:r>
      <w:r>
        <w:rPr>
          <w:rFonts w:ascii="Palatino Linotype" w:eastAsia="Calibri" w:hAnsi="Palatino Linotype" w:cs="Arial"/>
          <w:b/>
          <w:lang w:val="es-AR"/>
        </w:rPr>
        <w:t xml:space="preserve">veintinueve de noviembre </w:t>
      </w:r>
      <w:r w:rsidRPr="00E6284B">
        <w:rPr>
          <w:rFonts w:ascii="Palatino Linotype" w:eastAsia="Calibri" w:hAnsi="Palatino Linotype" w:cs="Arial"/>
          <w:lang w:val="es-AR"/>
        </w:rPr>
        <w:t>de  dos mil dieciocho</w:t>
      </w:r>
      <w:r>
        <w:rPr>
          <w:rFonts w:ascii="Palatino Linotype" w:eastAsia="Calibri" w:hAnsi="Palatino Linotype" w:cs="Arial"/>
          <w:b/>
          <w:lang w:val="es-AR"/>
        </w:rPr>
        <w:t xml:space="preserve">, </w:t>
      </w:r>
      <w:r w:rsidRPr="006F3BC9">
        <w:rPr>
          <w:rFonts w:ascii="Palatino Linotype" w:hAnsi="Palatino Linotype" w:cs="Arial"/>
        </w:rPr>
        <w:t xml:space="preserve">estando en tiempo y forma, </w:t>
      </w:r>
      <w:r>
        <w:rPr>
          <w:rFonts w:ascii="Palatino Linotype" w:hAnsi="Palatino Linotype" w:cs="Arial"/>
        </w:rPr>
        <w:t xml:space="preserve">la recurrente </w:t>
      </w:r>
      <w:r>
        <w:rPr>
          <w:rFonts w:ascii="Palatino Linotype" w:eastAsia="MS Mincho" w:hAnsi="Palatino Linotype"/>
          <w:lang w:val="es-ES_tradnl"/>
        </w:rPr>
        <w:t xml:space="preserve">interpuso </w:t>
      </w:r>
      <w:r w:rsidRPr="006F3BC9">
        <w:rPr>
          <w:rFonts w:ascii="Palatino Linotype" w:eastAsia="MS Mincho" w:hAnsi="Palatino Linotype"/>
          <w:lang w:val="es-ES_tradnl"/>
        </w:rPr>
        <w:t>recurso de revisión</w:t>
      </w:r>
      <w:r w:rsidRPr="006F3BC9">
        <w:rPr>
          <w:rFonts w:ascii="Palatino Linotype" w:eastAsia="MS Mincho" w:hAnsi="Palatino Linotype"/>
          <w:b/>
          <w:lang w:val="es-ES_tradnl"/>
        </w:rPr>
        <w:t>,</w:t>
      </w:r>
      <w:r w:rsidRPr="006F3BC9">
        <w:rPr>
          <w:rFonts w:ascii="Palatino Linotype" w:eastAsia="MS Mincho" w:hAnsi="Palatino Linotype"/>
          <w:lang w:val="es-ES_tradnl"/>
        </w:rPr>
        <w:t xml:space="preserve"> en contra de la </w:t>
      </w:r>
      <w:r>
        <w:rPr>
          <w:rFonts w:ascii="Palatino Linotype" w:eastAsia="MS Mincho" w:hAnsi="Palatino Linotype"/>
          <w:lang w:val="es-ES_tradnl"/>
        </w:rPr>
        <w:t xml:space="preserve">falta de </w:t>
      </w:r>
      <w:r w:rsidRPr="006F3BC9">
        <w:rPr>
          <w:rFonts w:ascii="Palatino Linotype" w:eastAsia="MS Mincho" w:hAnsi="Palatino Linotype"/>
          <w:lang w:val="es-ES_tradnl"/>
        </w:rPr>
        <w:t>respuesta</w:t>
      </w:r>
      <w:r>
        <w:rPr>
          <w:rFonts w:ascii="Palatino Linotype" w:eastAsia="MS Mincho" w:hAnsi="Palatino Linotype"/>
          <w:lang w:val="es-ES_tradnl"/>
        </w:rPr>
        <w:t>s</w:t>
      </w:r>
      <w:r w:rsidRPr="006F3BC9">
        <w:rPr>
          <w:rFonts w:ascii="Palatino Linotype" w:eastAsia="MS Mincho" w:hAnsi="Palatino Linotype"/>
          <w:lang w:val="es-ES_tradnl"/>
        </w:rPr>
        <w:t xml:space="preserve">, señalando </w:t>
      </w:r>
      <w:r w:rsidRPr="00E6284B">
        <w:rPr>
          <w:rFonts w:ascii="Palatino Linotype" w:hAnsi="Palatino Linotype" w:cs="Arial"/>
        </w:rPr>
        <w:t>como:</w:t>
      </w:r>
      <w:bookmarkStart w:id="2" w:name="_Toc462307683"/>
      <w:bookmarkStart w:id="3" w:name="_Toc472427085"/>
      <w:bookmarkStart w:id="4" w:name="_Toc472500652"/>
    </w:p>
    <w:p w14:paraId="09653E37" w14:textId="77777777" w:rsidR="00E00211" w:rsidRPr="00105521" w:rsidRDefault="00E00211" w:rsidP="00E00211">
      <w:pPr>
        <w:spacing w:line="360" w:lineRule="auto"/>
        <w:ind w:left="1416" w:hanging="696"/>
        <w:contextualSpacing/>
        <w:rPr>
          <w:rFonts w:ascii="Palatino Linotype" w:eastAsiaTheme="minorEastAsia" w:hAnsi="Palatino Linotype" w:cs="Arial"/>
          <w:i/>
          <w:lang w:val="es-ES_tradnl"/>
        </w:rPr>
      </w:pPr>
    </w:p>
    <w:p w14:paraId="0C1075E3" w14:textId="77777777" w:rsidR="00E00211" w:rsidRPr="0070555B" w:rsidRDefault="00E00211" w:rsidP="0096195A">
      <w:pPr>
        <w:numPr>
          <w:ilvl w:val="0"/>
          <w:numId w:val="4"/>
        </w:numPr>
        <w:ind w:right="34"/>
        <w:contextualSpacing/>
        <w:jc w:val="both"/>
        <w:rPr>
          <w:rFonts w:ascii="Palatino Linotype" w:eastAsia="Calibri" w:hAnsi="Palatino Linotype" w:cs="Arial"/>
          <w:i/>
        </w:rPr>
      </w:pPr>
      <w:r w:rsidRPr="0070555B">
        <w:rPr>
          <w:rFonts w:ascii="Palatino Linotype" w:eastAsiaTheme="minorEastAsia" w:hAnsi="Palatino Linotype"/>
          <w:b/>
          <w:i/>
          <w:lang w:val="es-ES_tradnl"/>
        </w:rPr>
        <w:t>Acto impugnado</w:t>
      </w:r>
      <w:bookmarkEnd w:id="2"/>
      <w:bookmarkEnd w:id="3"/>
      <w:bookmarkEnd w:id="4"/>
      <w:r w:rsidRPr="0070555B">
        <w:rPr>
          <w:rFonts w:ascii="Palatino Linotype" w:eastAsiaTheme="minorEastAsia" w:hAnsi="Palatino Linotype"/>
          <w:b/>
          <w:i/>
          <w:lang w:val="es-ES_tradnl"/>
        </w:rPr>
        <w:t>:</w:t>
      </w:r>
      <w:r w:rsidRPr="0070555B">
        <w:rPr>
          <w:rFonts w:ascii="Palatino Linotype" w:eastAsiaTheme="majorEastAsia" w:hAnsi="Palatino Linotype" w:cstheme="majorBidi"/>
          <w:b/>
          <w:i/>
          <w:sz w:val="26"/>
          <w:szCs w:val="26"/>
        </w:rPr>
        <w:t xml:space="preserve"> </w:t>
      </w:r>
      <w:r w:rsidRPr="0070555B">
        <w:rPr>
          <w:rFonts w:ascii="Palatino Linotype" w:eastAsiaTheme="majorEastAsia" w:hAnsi="Palatino Linotype" w:cstheme="majorBidi"/>
          <w:i/>
        </w:rPr>
        <w:t>“De conformidad con los artículos 176, 178 Párrafo Segundo, y 179 fracción VII de la Ley de Transparencia y Acceso a la Información Pública del Estado de México y Municipios, comparezco para exponer: Mediante expediente número 00028/NOPALTE/IP/2018 se solicitó al H. Ayuntamiento de NOPALTEPEC a INFORMACIÓN PÚBLICA respecto de las percepciones mensuales del PRESIDENTE MUNICIPAL, SINDICO Y REGIDORES que componen el cabildo. En fecha 06/11/2018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SEPTIEMBRE y OCTUBRE DEL AÑO 2018 QUE PERCIBE EL PRESIDENTE MUNICIPAL, SINDICO Y REGIDORES EN VERSIÓN PUBLICA (REFLEJANDO ASI EL SALARIO BRUTO Y NETO MENSUAL). Adjunto al presente, acuse de solicitud formulada con antelación.” (Sic)</w:t>
      </w:r>
      <w:r w:rsidRPr="0070555B">
        <w:rPr>
          <w:rFonts w:ascii="Palatino Linotype" w:eastAsia="Calibri" w:hAnsi="Palatino Linotype" w:cs="Arial"/>
          <w:i/>
        </w:rPr>
        <w:t>; y</w:t>
      </w:r>
    </w:p>
    <w:p w14:paraId="6E8737E4" w14:textId="77777777" w:rsidR="00E00211" w:rsidRPr="00105521" w:rsidRDefault="00E00211" w:rsidP="00E00211">
      <w:pPr>
        <w:spacing w:line="360" w:lineRule="auto"/>
        <w:ind w:left="780" w:right="34"/>
        <w:contextualSpacing/>
        <w:jc w:val="both"/>
        <w:rPr>
          <w:rFonts w:ascii="Palatino Linotype" w:eastAsiaTheme="minorEastAsia" w:hAnsi="Palatino Linotype" w:cs="Arial"/>
          <w:i/>
          <w:lang w:val="es-ES_tradnl"/>
        </w:rPr>
      </w:pPr>
    </w:p>
    <w:p w14:paraId="54780908" w14:textId="77777777" w:rsidR="00E00211" w:rsidRPr="00105521" w:rsidRDefault="00E00211" w:rsidP="00E00211">
      <w:pPr>
        <w:spacing w:line="360" w:lineRule="auto"/>
        <w:ind w:left="851" w:hanging="425"/>
        <w:contextualSpacing/>
        <w:jc w:val="both"/>
        <w:rPr>
          <w:rFonts w:ascii="Palatino Linotype" w:eastAsiaTheme="minorEastAsia" w:hAnsi="Palatino Linotype" w:cs="Arial"/>
          <w:i/>
          <w:lang w:val="es-ES_tradnl"/>
        </w:rPr>
      </w:pPr>
      <w:r w:rsidRPr="00105521">
        <w:rPr>
          <w:rFonts w:ascii="Palatino Linotype" w:eastAsiaTheme="minorEastAsia" w:hAnsi="Palatino Linotype"/>
          <w:b/>
          <w:lang w:val="es-ES_tradnl"/>
        </w:rPr>
        <w:t xml:space="preserve">B)  </w:t>
      </w:r>
      <w:bookmarkStart w:id="5" w:name="_Toc462307685"/>
      <w:bookmarkStart w:id="6" w:name="_Toc472427087"/>
      <w:bookmarkStart w:id="7" w:name="_Toc472500654"/>
      <w:r w:rsidRPr="00105521">
        <w:rPr>
          <w:rFonts w:ascii="Palatino Linotype" w:eastAsiaTheme="minorEastAsia" w:hAnsi="Palatino Linotype"/>
          <w:b/>
          <w:lang w:val="es-ES_tradnl"/>
        </w:rPr>
        <w:t>Razones o Motivos de inconformidad:</w:t>
      </w:r>
      <w:bookmarkEnd w:id="5"/>
      <w:bookmarkEnd w:id="6"/>
      <w:bookmarkEnd w:id="7"/>
      <w:r w:rsidRPr="00105521">
        <w:rPr>
          <w:rFonts w:ascii="Palatino Linotype" w:eastAsiaTheme="majorEastAsia" w:hAnsi="Palatino Linotype" w:cstheme="majorBidi"/>
          <w:b/>
          <w:color w:val="365F91" w:themeColor="accent1" w:themeShade="BF"/>
          <w:sz w:val="26"/>
          <w:szCs w:val="26"/>
        </w:rPr>
        <w:t xml:space="preserve"> </w:t>
      </w:r>
      <w:r w:rsidRPr="00105521">
        <w:rPr>
          <w:rFonts w:ascii="Palatino Linotype" w:eastAsiaTheme="minorEastAsia" w:hAnsi="Palatino Linotype"/>
          <w:i/>
          <w:lang w:val="es-ES_tradnl"/>
        </w:rPr>
        <w:t>“</w:t>
      </w:r>
      <w:r w:rsidRPr="0070555B">
        <w:rPr>
          <w:rFonts w:ascii="Palatino Linotype" w:eastAsiaTheme="minorEastAsia" w:hAnsi="Palatino Linotype"/>
          <w:i/>
        </w:rPr>
        <w:t>NO SE DIO RESPUESTA A LO SOLICITIADO</w:t>
      </w:r>
      <w:r w:rsidRPr="00105521">
        <w:rPr>
          <w:rFonts w:ascii="Palatino Linotype" w:eastAsiaTheme="minorEastAsia" w:hAnsi="Palatino Linotype"/>
          <w:i/>
          <w:lang w:val="es-ES_tradnl"/>
        </w:rPr>
        <w:t xml:space="preserve">” </w:t>
      </w:r>
      <w:r w:rsidRPr="00105521">
        <w:rPr>
          <w:rFonts w:ascii="Palatino Linotype" w:eastAsiaTheme="minorEastAsia" w:hAnsi="Palatino Linotype" w:cs="Arial"/>
          <w:i/>
          <w:lang w:val="es-ES_tradnl"/>
        </w:rPr>
        <w:t xml:space="preserve">(Sic) </w:t>
      </w:r>
    </w:p>
    <w:p w14:paraId="1BFF64A1" w14:textId="77777777" w:rsidR="00E00211" w:rsidRPr="00105521" w:rsidRDefault="00E00211" w:rsidP="00E00211">
      <w:pPr>
        <w:spacing w:line="360" w:lineRule="auto"/>
        <w:contextualSpacing/>
        <w:jc w:val="both"/>
        <w:rPr>
          <w:rFonts w:ascii="Palatino Linotype" w:eastAsiaTheme="minorEastAsia" w:hAnsi="Palatino Linotype" w:cs="Arial"/>
          <w:lang w:val="es-ES_tradnl"/>
        </w:rPr>
      </w:pPr>
    </w:p>
    <w:p w14:paraId="2FC43D78" w14:textId="77777777" w:rsidR="00E00211" w:rsidRPr="00617784" w:rsidRDefault="00E00211" w:rsidP="00E00211">
      <w:pPr>
        <w:tabs>
          <w:tab w:val="left" w:pos="709"/>
        </w:tabs>
        <w:spacing w:line="360" w:lineRule="auto"/>
        <w:ind w:right="49"/>
        <w:jc w:val="both"/>
        <w:rPr>
          <w:rFonts w:ascii="Palatino Linotype" w:hAnsi="Palatino Linotype"/>
        </w:rPr>
      </w:pPr>
      <w:bookmarkStart w:id="8" w:name="_Toc531713034"/>
      <w:r w:rsidRPr="00617784">
        <w:rPr>
          <w:rFonts w:ascii="Palatino Linotype" w:hAnsi="Palatino Linotype"/>
        </w:rPr>
        <w:t xml:space="preserve">Se hace la precisión anterior, en atención a la lectura íntegra del recurso de revisión, pues este Órgano Garante determina tomar en consideración los datos del mismo, en un sentido congruente con todos sus elementos, así como la totalidad de la </w:t>
      </w:r>
      <w:r w:rsidRPr="00617784">
        <w:rPr>
          <w:rFonts w:ascii="Palatino Linotype" w:hAnsi="Palatino Linotype"/>
        </w:rPr>
        <w:lastRenderedPageBreak/>
        <w:t>información del expediente electrónico, incluyendo la intencionalidad del recurrente, es decir, lo que quiso decir, porque sólo de esta manera se logra congruencia entre lo pretendido y lo resuelto.</w:t>
      </w:r>
    </w:p>
    <w:p w14:paraId="1676FB4A" w14:textId="77777777" w:rsidR="00E00211" w:rsidRPr="00617784" w:rsidRDefault="00E00211" w:rsidP="00E00211">
      <w:pPr>
        <w:tabs>
          <w:tab w:val="left" w:pos="709"/>
        </w:tabs>
        <w:spacing w:line="360" w:lineRule="auto"/>
        <w:ind w:right="49"/>
        <w:jc w:val="both"/>
        <w:rPr>
          <w:rFonts w:ascii="Palatino Linotype" w:hAnsi="Palatino Linotype"/>
        </w:rPr>
      </w:pPr>
    </w:p>
    <w:p w14:paraId="6D92FF6D" w14:textId="77777777" w:rsidR="00E00211" w:rsidRDefault="00E00211" w:rsidP="00E00211">
      <w:pPr>
        <w:spacing w:line="360" w:lineRule="auto"/>
        <w:ind w:right="49"/>
        <w:jc w:val="both"/>
        <w:rPr>
          <w:rFonts w:ascii="Palatino Linotype" w:hAnsi="Palatino Linotype"/>
        </w:rPr>
      </w:pPr>
      <w:r w:rsidRPr="00617784">
        <w:rPr>
          <w:rFonts w:ascii="Palatino Linotype" w:hAnsi="Palatino Linotype"/>
        </w:rPr>
        <w:t xml:space="preserve">Es aplicable por analogía, la tesis VI/2004, publicada en la página 255, del Tomo XIX, del Semanario Judicial de la Federación y su Gaceta, de abril de 2004, Novena Época, del registro 181810, de rubro y contenido siguiente </w:t>
      </w:r>
      <w:proofErr w:type="spellStart"/>
      <w:r w:rsidRPr="00617784">
        <w:rPr>
          <w:rFonts w:ascii="Palatino Linotype" w:hAnsi="Palatino Linotype"/>
        </w:rPr>
        <w:t>siguiente</w:t>
      </w:r>
      <w:proofErr w:type="spellEnd"/>
      <w:r w:rsidRPr="00617784">
        <w:rPr>
          <w:rFonts w:ascii="Palatino Linotype" w:hAnsi="Palatino Linotype"/>
        </w:rPr>
        <w:t xml:space="preserve">: </w:t>
      </w:r>
    </w:p>
    <w:p w14:paraId="28D8D94B" w14:textId="77777777" w:rsidR="00AD55F4" w:rsidRPr="00AD55F4" w:rsidRDefault="00AD55F4" w:rsidP="00E00211">
      <w:pPr>
        <w:spacing w:line="360" w:lineRule="auto"/>
        <w:ind w:right="49"/>
        <w:jc w:val="both"/>
        <w:rPr>
          <w:rFonts w:ascii="Palatino Linotype" w:hAnsi="Palatino Linotype"/>
          <w:sz w:val="12"/>
        </w:rPr>
      </w:pPr>
    </w:p>
    <w:p w14:paraId="2214E651" w14:textId="77777777" w:rsidR="00AD55F4" w:rsidRPr="00AD55F4" w:rsidRDefault="00AD55F4" w:rsidP="00E00211">
      <w:pPr>
        <w:spacing w:line="360" w:lineRule="auto"/>
        <w:ind w:right="49"/>
        <w:jc w:val="both"/>
        <w:rPr>
          <w:rFonts w:ascii="Palatino Linotype" w:hAnsi="Palatino Linotype"/>
          <w:sz w:val="4"/>
        </w:rPr>
      </w:pPr>
    </w:p>
    <w:p w14:paraId="3B5DE59E" w14:textId="77777777" w:rsidR="00E00211" w:rsidRPr="00604582" w:rsidRDefault="00E00211" w:rsidP="00E00211">
      <w:pPr>
        <w:ind w:left="851" w:right="758"/>
        <w:jc w:val="both"/>
        <w:rPr>
          <w:rFonts w:ascii="Palatino Linotype" w:hAnsi="Palatino Linotype"/>
          <w:b/>
          <w:i/>
          <w:sz w:val="22"/>
        </w:rPr>
      </w:pPr>
      <w:r w:rsidRPr="00604582">
        <w:rPr>
          <w:rFonts w:ascii="Palatino Linotype" w:hAnsi="Palatino Linotype"/>
          <w:b/>
          <w:bCs/>
          <w:sz w:val="22"/>
        </w:rPr>
        <w:t>“</w:t>
      </w:r>
      <w:r w:rsidRPr="00604582">
        <w:rPr>
          <w:rFonts w:ascii="Palatino Linotype" w:hAnsi="Palatino Linotype"/>
          <w:b/>
          <w:bCs/>
          <w:i/>
          <w:sz w:val="22"/>
        </w:rPr>
        <w:t>ACTOS RECLAMADOS. REGLAS PARA SU FIJACIÓN CLARA Y PRECISA EN LA SENTENCIA DE AMPARO</w:t>
      </w:r>
      <w:r w:rsidRPr="00604582">
        <w:rPr>
          <w:rFonts w:ascii="Palatino Linotype" w:hAnsi="Palatino Linotype"/>
          <w:b/>
          <w:i/>
          <w:sz w:val="22"/>
        </w:rPr>
        <w:t>.</w:t>
      </w:r>
      <w:r w:rsidRPr="00604582">
        <w:rPr>
          <w:rFonts w:ascii="Palatino Linotype" w:hAnsi="Palatino Linotype" w:cs="Calibri"/>
          <w:color w:val="000000"/>
          <w:sz w:val="22"/>
        </w:rPr>
        <w:t xml:space="preserve"> El artículo 77, fracción I, de la Ley de Amparo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r w:rsidRPr="00604582">
        <w:rPr>
          <w:rFonts w:ascii="Palatino Linotype" w:hAnsi="Palatino Linotype"/>
          <w:b/>
          <w:i/>
          <w:sz w:val="22"/>
        </w:rPr>
        <w:t>”</w:t>
      </w:r>
    </w:p>
    <w:p w14:paraId="16D483A0" w14:textId="77777777" w:rsidR="00AD55F4" w:rsidRPr="00AD55F4" w:rsidRDefault="00AD55F4" w:rsidP="00E00211">
      <w:pPr>
        <w:ind w:left="851" w:right="758"/>
        <w:jc w:val="both"/>
        <w:rPr>
          <w:rFonts w:ascii="Palatino Linotype" w:hAnsi="Palatino Linotype" w:cs="Calibri"/>
          <w:color w:val="000000"/>
          <w:sz w:val="18"/>
        </w:rPr>
      </w:pPr>
    </w:p>
    <w:p w14:paraId="1C3EC354" w14:textId="77777777" w:rsidR="00E00211" w:rsidRPr="00617784" w:rsidRDefault="00E00211" w:rsidP="00E00211">
      <w:pPr>
        <w:spacing w:line="360" w:lineRule="auto"/>
        <w:ind w:right="49"/>
        <w:jc w:val="both"/>
        <w:rPr>
          <w:rFonts w:ascii="Palatino Linotype" w:hAnsi="Palatino Linotype"/>
        </w:rPr>
      </w:pPr>
      <w:r w:rsidRPr="00617784">
        <w:rPr>
          <w:rFonts w:ascii="Palatino Linotype" w:hAnsi="Palatino Linotype"/>
        </w:rPr>
        <w:t>Lo anterior, en atención a la lectura íntegra del recurso planteado, pues este Instituto determina tomar en consideración los datos de la interposición del recurso, en un sentido congruente con todos sus elementos, así como la totalidad de la información del expediente electrónico, porque sólo de esta manera se logra congruencia entre lo pretendido y lo resuelto.</w:t>
      </w:r>
    </w:p>
    <w:p w14:paraId="1EC5C61D" w14:textId="77777777" w:rsidR="00E00211" w:rsidRDefault="00E00211" w:rsidP="00AD55F4">
      <w:pPr>
        <w:ind w:right="900"/>
        <w:jc w:val="both"/>
        <w:rPr>
          <w:rFonts w:ascii="Palatino Linotype" w:hAnsi="Palatino Linotype" w:cs="Arial"/>
          <w:i/>
          <w:sz w:val="4"/>
        </w:rPr>
      </w:pPr>
    </w:p>
    <w:p w14:paraId="0814C0D6" w14:textId="77777777" w:rsidR="00BA7EAC" w:rsidRDefault="00BA7EAC" w:rsidP="00E00211">
      <w:pPr>
        <w:spacing w:line="360" w:lineRule="auto"/>
        <w:jc w:val="both"/>
        <w:rPr>
          <w:rFonts w:ascii="Palatino Linotype" w:hAnsi="Palatino Linotype" w:cs="Arial"/>
          <w:b/>
          <w:sz w:val="8"/>
        </w:rPr>
      </w:pPr>
    </w:p>
    <w:p w14:paraId="7DC51F51" w14:textId="77777777" w:rsidR="00AD55F4" w:rsidRPr="00BA7EAC" w:rsidRDefault="00AD55F4" w:rsidP="00E00211">
      <w:pPr>
        <w:spacing w:line="360" w:lineRule="auto"/>
        <w:jc w:val="both"/>
        <w:rPr>
          <w:rFonts w:ascii="Palatino Linotype" w:hAnsi="Palatino Linotype" w:cs="Arial"/>
          <w:b/>
          <w:sz w:val="8"/>
        </w:rPr>
      </w:pPr>
    </w:p>
    <w:p w14:paraId="244DFFA3" w14:textId="3A05BA37" w:rsidR="00E00211" w:rsidRDefault="00E00211" w:rsidP="00E00211">
      <w:pPr>
        <w:spacing w:line="360" w:lineRule="auto"/>
        <w:jc w:val="both"/>
        <w:rPr>
          <w:rFonts w:ascii="Palatino Linotype" w:eastAsia="Calibri" w:hAnsi="Palatino Linotype" w:cs="Arial"/>
        </w:rPr>
      </w:pPr>
      <w:r w:rsidRPr="00617784">
        <w:rPr>
          <w:rFonts w:ascii="Palatino Linotype" w:hAnsi="Palatino Linotype" w:cs="Arial"/>
          <w:b/>
        </w:rPr>
        <w:t xml:space="preserve">Cuarto. </w:t>
      </w:r>
      <w:r w:rsidR="00926432">
        <w:rPr>
          <w:rFonts w:ascii="Palatino Linotype" w:hAnsi="Palatino Linotype" w:cs="Arial"/>
          <w:b/>
        </w:rPr>
        <w:t xml:space="preserve">Turno. </w:t>
      </w:r>
      <w:r w:rsidRPr="00617784">
        <w:rPr>
          <w:rFonts w:ascii="Palatino Linotype" w:eastAsia="Calibri" w:hAnsi="Palatino Linotype" w:cs="Arial"/>
        </w:rPr>
        <w:t xml:space="preserve">De conformidad con el artículo 185, fracción I de la Ley de Transparencia y Acceso a la Información Pública del Estado de México y Municipios vigente, el recurso de revisión </w:t>
      </w:r>
      <w:r w:rsidRPr="00617784">
        <w:rPr>
          <w:rFonts w:ascii="Palatino Linotype" w:hAnsi="Palatino Linotype" w:cs="Arial"/>
          <w:b/>
        </w:rPr>
        <w:t>04549/INFOEM/IP/RR/2018</w:t>
      </w:r>
      <w:r w:rsidRPr="00617784">
        <w:rPr>
          <w:rFonts w:ascii="Palatino Linotype" w:eastAsia="Calibri" w:hAnsi="Palatino Linotype" w:cs="Arial"/>
        </w:rPr>
        <w:t xml:space="preserve">  fue turnado por el sistema electrónico del Instituto de Transparencia, Acceso a la Información Pública y Protección de Datos Personales del Estado de México y Municipios al Comisionado </w:t>
      </w:r>
      <w:r w:rsidRPr="00617784">
        <w:rPr>
          <w:rFonts w:ascii="Palatino Linotype" w:eastAsia="Calibri" w:hAnsi="Palatino Linotype" w:cs="Arial"/>
          <w:b/>
        </w:rPr>
        <w:t>Javier Martínez Cruz</w:t>
      </w:r>
      <w:r w:rsidRPr="00617784">
        <w:rPr>
          <w:rFonts w:ascii="Palatino Linotype" w:eastAsia="Calibri" w:hAnsi="Palatino Linotype" w:cs="Arial"/>
        </w:rPr>
        <w:t>.</w:t>
      </w:r>
    </w:p>
    <w:p w14:paraId="1F36904F" w14:textId="77777777" w:rsidR="00BA7EAC" w:rsidRPr="00BA7EAC" w:rsidRDefault="00BA7EAC" w:rsidP="00E00211">
      <w:pPr>
        <w:spacing w:line="360" w:lineRule="auto"/>
        <w:jc w:val="both"/>
        <w:rPr>
          <w:rFonts w:ascii="Palatino Linotype" w:eastAsia="Calibri" w:hAnsi="Palatino Linotype" w:cs="Arial"/>
          <w:sz w:val="12"/>
        </w:rPr>
      </w:pPr>
    </w:p>
    <w:p w14:paraId="5F54C410" w14:textId="77777777" w:rsidR="00E00211" w:rsidRPr="00617784" w:rsidRDefault="00E00211" w:rsidP="00E00211">
      <w:pPr>
        <w:spacing w:line="360" w:lineRule="auto"/>
        <w:jc w:val="both"/>
        <w:rPr>
          <w:rFonts w:ascii="Palatino Linotype" w:hAnsi="Palatino Linotype" w:cs="Arial"/>
          <w:sz w:val="2"/>
        </w:rPr>
      </w:pPr>
    </w:p>
    <w:p w14:paraId="51F28E53" w14:textId="3ADF1497" w:rsidR="00E00211" w:rsidRDefault="00E00211" w:rsidP="00E00211">
      <w:pPr>
        <w:widowControl w:val="0"/>
        <w:autoSpaceDE w:val="0"/>
        <w:autoSpaceDN w:val="0"/>
        <w:adjustRightInd w:val="0"/>
        <w:spacing w:line="360" w:lineRule="auto"/>
        <w:jc w:val="both"/>
        <w:rPr>
          <w:rFonts w:ascii="Palatino Linotype" w:hAnsi="Palatino Linotype" w:cs="Arial"/>
        </w:rPr>
      </w:pPr>
      <w:r w:rsidRPr="00617784">
        <w:rPr>
          <w:rFonts w:ascii="Palatino Linotype" w:hAnsi="Palatino Linotype" w:cs="Arial"/>
          <w:b/>
        </w:rPr>
        <w:t>Quinto.</w:t>
      </w:r>
      <w:r w:rsidR="00926432">
        <w:rPr>
          <w:rFonts w:ascii="Palatino Linotype" w:hAnsi="Palatino Linotype" w:cs="Arial"/>
          <w:b/>
        </w:rPr>
        <w:t xml:space="preserve"> </w:t>
      </w:r>
      <w:r w:rsidR="00926432">
        <w:rPr>
          <w:rFonts w:ascii="Palatino Linotype" w:hAnsi="Palatino Linotype" w:cs="Arial"/>
          <w:b/>
          <w:szCs w:val="28"/>
        </w:rPr>
        <w:t>Admisión.</w:t>
      </w:r>
      <w:r w:rsidR="00926432" w:rsidRPr="00462789">
        <w:rPr>
          <w:rFonts w:ascii="Palatino Linotype" w:hAnsi="Palatino Linotype" w:cs="Arial"/>
          <w:b/>
          <w:i/>
          <w:szCs w:val="28"/>
        </w:rPr>
        <w:t xml:space="preserve"> </w:t>
      </w:r>
      <w:r w:rsidRPr="00617784">
        <w:rPr>
          <w:rFonts w:ascii="Palatino Linotype" w:hAnsi="Palatino Linotype" w:cs="Arial"/>
        </w:rPr>
        <w:t xml:space="preserve"> En fecha </w:t>
      </w:r>
      <w:r>
        <w:rPr>
          <w:rFonts w:ascii="Palatino Linotype" w:hAnsi="Palatino Linotype" w:cs="Arial"/>
          <w:b/>
        </w:rPr>
        <w:t>cinco de diciembre</w:t>
      </w:r>
      <w:r w:rsidRPr="00617784">
        <w:rPr>
          <w:rFonts w:ascii="Palatino Linotype" w:hAnsi="Palatino Linotype" w:cs="Arial"/>
          <w:b/>
        </w:rPr>
        <w:t xml:space="preserve"> de dos mil dieciocho</w:t>
      </w:r>
      <w:r w:rsidRPr="00617784">
        <w:rPr>
          <w:rFonts w:ascii="Palatino Linotype" w:hAnsi="Palatino Linotype" w:cs="Arial"/>
        </w:rPr>
        <w:t>, este Instituto de Transparencia, Acceso a la Información Pública y Protección de Datos Pernales en el Estado de México y Municipios, admitió a trámite el recurso de revisión que ahora  se resuelve, otorgando un plazo de siete días para que las partes formularan lo que a su derecho resultara conveniente, ofrecieran pruebas, presentaran alegatos y el Sujeto Obligado presentara su informe justificado, lo anterior en términos de lo establecido en las fracciones I y II del artículo 185 de la Ley de la de Transparencia y Acceso a la Información Pública del Estado de México y Municipios.</w:t>
      </w:r>
    </w:p>
    <w:p w14:paraId="0B4AF3E1" w14:textId="77777777" w:rsidR="00BA7EAC" w:rsidRDefault="00BA7EAC" w:rsidP="00E00211">
      <w:pPr>
        <w:widowControl w:val="0"/>
        <w:autoSpaceDE w:val="0"/>
        <w:autoSpaceDN w:val="0"/>
        <w:adjustRightInd w:val="0"/>
        <w:spacing w:line="360" w:lineRule="auto"/>
        <w:jc w:val="both"/>
        <w:rPr>
          <w:rFonts w:ascii="Palatino Linotype" w:hAnsi="Palatino Linotype" w:cs="Arial"/>
          <w:sz w:val="8"/>
        </w:rPr>
      </w:pPr>
    </w:p>
    <w:p w14:paraId="1317E713" w14:textId="77777777" w:rsidR="00E00211" w:rsidRPr="00BA7EAC" w:rsidRDefault="00E00211" w:rsidP="00E00211">
      <w:pPr>
        <w:widowControl w:val="0"/>
        <w:autoSpaceDE w:val="0"/>
        <w:autoSpaceDN w:val="0"/>
        <w:adjustRightInd w:val="0"/>
        <w:spacing w:line="360" w:lineRule="auto"/>
        <w:jc w:val="both"/>
        <w:rPr>
          <w:rFonts w:ascii="Palatino Linotype" w:hAnsi="Palatino Linotype" w:cs="Arial"/>
          <w:sz w:val="16"/>
        </w:rPr>
      </w:pPr>
    </w:p>
    <w:p w14:paraId="17087E0D" w14:textId="621BE4B5" w:rsidR="00E00211" w:rsidRPr="00617784" w:rsidRDefault="00E00211" w:rsidP="00E00211">
      <w:pPr>
        <w:widowControl w:val="0"/>
        <w:autoSpaceDE w:val="0"/>
        <w:autoSpaceDN w:val="0"/>
        <w:adjustRightInd w:val="0"/>
        <w:spacing w:line="360" w:lineRule="auto"/>
        <w:jc w:val="both"/>
        <w:rPr>
          <w:rFonts w:ascii="Palatino Linotype" w:eastAsia="Calibri" w:hAnsi="Palatino Linotype"/>
        </w:rPr>
      </w:pPr>
      <w:r w:rsidRPr="00617784">
        <w:rPr>
          <w:rFonts w:ascii="Palatino Linotype" w:hAnsi="Palatino Linotype" w:cs="Arial"/>
          <w:b/>
        </w:rPr>
        <w:t xml:space="preserve">Sexto. </w:t>
      </w:r>
      <w:r w:rsidR="00926432">
        <w:rPr>
          <w:rFonts w:ascii="Palatino Linotype" w:hAnsi="Palatino Linotype" w:cs="Arial"/>
          <w:b/>
        </w:rPr>
        <w:t xml:space="preserve"> Informe justificado. </w:t>
      </w:r>
      <w:r w:rsidRPr="00617784">
        <w:rPr>
          <w:rFonts w:ascii="Palatino Linotype" w:hAnsi="Palatino Linotype" w:cs="Arial"/>
        </w:rPr>
        <w:t>De las constancias que integran el expediente en que se actúa se advierte que</w:t>
      </w:r>
      <w:r w:rsidRPr="00617784">
        <w:rPr>
          <w:rFonts w:ascii="Palatino Linotype" w:eastAsia="Calibri" w:hAnsi="Palatino Linotype" w:cs="Arial"/>
        </w:rPr>
        <w:t xml:space="preserve"> el Sujeto Obligado fue omiso en rendir el respectivo informe justificado.</w:t>
      </w:r>
    </w:p>
    <w:p w14:paraId="3BD86A67" w14:textId="526F2003" w:rsidR="00E00211" w:rsidRPr="00617784" w:rsidRDefault="00BA7EAC" w:rsidP="00E00211">
      <w:pPr>
        <w:spacing w:before="240" w:after="240" w:line="360" w:lineRule="auto"/>
        <w:jc w:val="both"/>
        <w:rPr>
          <w:rFonts w:ascii="Palatino Linotype" w:hAnsi="Palatino Linotype" w:cs="Arial"/>
          <w:b/>
        </w:rPr>
      </w:pPr>
      <w:r>
        <w:rPr>
          <w:rFonts w:ascii="Palatino Linotype" w:hAnsi="Palatino Linotype" w:cs="Arial"/>
          <w:b/>
        </w:rPr>
        <w:t>Séptimo.</w:t>
      </w:r>
      <w:r w:rsidR="00926432">
        <w:rPr>
          <w:rFonts w:ascii="Palatino Linotype" w:hAnsi="Palatino Linotype" w:cs="Arial"/>
          <w:b/>
        </w:rPr>
        <w:t xml:space="preserve"> </w:t>
      </w:r>
      <w:r w:rsidR="00926432" w:rsidRPr="005E0FAC">
        <w:rPr>
          <w:rFonts w:ascii="Palatino Linotype" w:hAnsi="Palatino Linotype" w:cs="Arial"/>
          <w:b/>
        </w:rPr>
        <w:t>Cierre de Instrucción</w:t>
      </w:r>
      <w:r w:rsidR="00926432" w:rsidRPr="005E0FAC">
        <w:rPr>
          <w:rFonts w:ascii="Palatino Linotype" w:hAnsi="Palatino Linotype"/>
          <w:b/>
        </w:rPr>
        <w:t>.</w:t>
      </w:r>
      <w:r w:rsidR="00926432" w:rsidRPr="005E0FAC">
        <w:rPr>
          <w:rFonts w:ascii="Palatino Linotype" w:hAnsi="Palatino Linotype"/>
        </w:rPr>
        <w:t xml:space="preserve"> </w:t>
      </w:r>
      <w:r w:rsidR="00926432" w:rsidRPr="005E0FAC">
        <w:rPr>
          <w:rFonts w:ascii="Palatino Linotype" w:hAnsi="Palatino Linotype" w:cs="Arial"/>
          <w:b/>
        </w:rPr>
        <w:t>Cierre de Instrucción.</w:t>
      </w:r>
      <w:r>
        <w:rPr>
          <w:rFonts w:ascii="Palatino Linotype" w:hAnsi="Palatino Linotype" w:cs="Arial"/>
          <w:b/>
        </w:rPr>
        <w:t xml:space="preserve"> </w:t>
      </w:r>
      <w:r>
        <w:rPr>
          <w:rFonts w:ascii="Palatino Linotype" w:hAnsi="Palatino Linotype" w:cs="Arial"/>
        </w:rPr>
        <w:t>En</w:t>
      </w:r>
      <w:r w:rsidR="00E00211" w:rsidRPr="00617784">
        <w:rPr>
          <w:rFonts w:ascii="Palatino Linotype" w:hAnsi="Palatino Linotype" w:cs="Arial"/>
        </w:rPr>
        <w:t xml:space="preserve"> fecha </w:t>
      </w:r>
      <w:r w:rsidR="00250F3C">
        <w:rPr>
          <w:rFonts w:ascii="Palatino Linotype" w:hAnsi="Palatino Linotype" w:cs="Arial"/>
          <w:b/>
        </w:rPr>
        <w:t>nueve de enero de dos mil diecinueve</w:t>
      </w:r>
      <w:r w:rsidR="00E00211" w:rsidRPr="00617784">
        <w:rPr>
          <w:rFonts w:ascii="Palatino Linotype" w:hAnsi="Palatino Linotype" w:cs="Arial"/>
        </w:rPr>
        <w:t>, se decretó el cierre de instrucción del presente medio de impugnación para proceder a su resolución.</w:t>
      </w:r>
      <w:r w:rsidR="00E00211" w:rsidRPr="00617784">
        <w:rPr>
          <w:rFonts w:ascii="Palatino Linotype" w:hAnsi="Palatino Linotype" w:cs="Arial"/>
          <w:b/>
        </w:rPr>
        <w:t xml:space="preserve"> </w:t>
      </w:r>
    </w:p>
    <w:p w14:paraId="7876B54D" w14:textId="77777777" w:rsidR="00E00211" w:rsidRDefault="00E00211" w:rsidP="00E00211">
      <w:pPr>
        <w:autoSpaceDE w:val="0"/>
        <w:autoSpaceDN w:val="0"/>
        <w:adjustRightInd w:val="0"/>
        <w:spacing w:before="240" w:after="240" w:line="360" w:lineRule="auto"/>
        <w:ind w:left="567" w:right="567"/>
        <w:contextualSpacing/>
        <w:jc w:val="center"/>
        <w:rPr>
          <w:rFonts w:ascii="Palatino Linotype" w:eastAsiaTheme="majorEastAsia" w:hAnsi="Palatino Linotype" w:cstheme="majorBidi"/>
          <w:b/>
        </w:rPr>
      </w:pPr>
      <w:r w:rsidRPr="00105521">
        <w:rPr>
          <w:rFonts w:ascii="Palatino Linotype" w:eastAsiaTheme="majorEastAsia" w:hAnsi="Palatino Linotype" w:cstheme="majorBidi"/>
          <w:b/>
        </w:rPr>
        <w:t>CONSIDERANDO</w:t>
      </w:r>
      <w:bookmarkStart w:id="9" w:name="_Toc531713035"/>
      <w:bookmarkEnd w:id="8"/>
    </w:p>
    <w:p w14:paraId="7D163A8A" w14:textId="77777777" w:rsidR="00E00211" w:rsidRPr="00617784" w:rsidRDefault="00E00211" w:rsidP="00E00211">
      <w:pPr>
        <w:autoSpaceDE w:val="0"/>
        <w:autoSpaceDN w:val="0"/>
        <w:adjustRightInd w:val="0"/>
        <w:spacing w:before="240" w:after="240" w:line="360" w:lineRule="auto"/>
        <w:ind w:left="567" w:right="567"/>
        <w:contextualSpacing/>
        <w:jc w:val="center"/>
        <w:rPr>
          <w:rFonts w:ascii="Palatino Linotype" w:eastAsiaTheme="majorEastAsia" w:hAnsi="Palatino Linotype" w:cstheme="majorBidi"/>
          <w:b/>
          <w:sz w:val="6"/>
        </w:rPr>
      </w:pPr>
    </w:p>
    <w:p w14:paraId="58D0ABCE" w14:textId="43567F4C" w:rsidR="00E00211" w:rsidRDefault="00E00211" w:rsidP="00E00211">
      <w:pPr>
        <w:autoSpaceDE w:val="0"/>
        <w:autoSpaceDN w:val="0"/>
        <w:adjustRightInd w:val="0"/>
        <w:spacing w:before="240" w:after="240" w:line="360" w:lineRule="auto"/>
        <w:contextualSpacing/>
        <w:jc w:val="both"/>
        <w:rPr>
          <w:rFonts w:ascii="Palatino Linotype" w:eastAsiaTheme="majorEastAsia" w:hAnsi="Palatino Linotype" w:cstheme="majorBidi"/>
          <w:b/>
        </w:rPr>
      </w:pPr>
      <w:r w:rsidRPr="00105521">
        <w:rPr>
          <w:rFonts w:ascii="Palatino Linotype" w:eastAsiaTheme="majorEastAsia" w:hAnsi="Palatino Linotype" w:cstheme="majorBidi"/>
          <w:b/>
          <w:szCs w:val="26"/>
        </w:rPr>
        <w:lastRenderedPageBreak/>
        <w:t>PRIMERO.</w:t>
      </w:r>
      <w:bookmarkEnd w:id="9"/>
      <w:r>
        <w:rPr>
          <w:rFonts w:ascii="Palatino Linotype" w:eastAsiaTheme="majorEastAsia" w:hAnsi="Palatino Linotype" w:cstheme="majorBidi"/>
          <w:b/>
          <w:szCs w:val="26"/>
        </w:rPr>
        <w:t xml:space="preserve"> </w:t>
      </w:r>
      <w:r w:rsidR="000D470B" w:rsidRPr="000915B9">
        <w:rPr>
          <w:rFonts w:ascii="Palatino Linotype" w:hAnsi="Palatino Linotype" w:cs="Arial"/>
          <w:b/>
          <w:szCs w:val="28"/>
        </w:rPr>
        <w:t>Competencia.</w:t>
      </w:r>
      <w:r w:rsidR="000D470B" w:rsidRPr="000915B9">
        <w:rPr>
          <w:rFonts w:ascii="Palatino Linotype" w:hAnsi="Palatino Linotype" w:cs="Arial"/>
          <w:b/>
          <w:sz w:val="22"/>
        </w:rPr>
        <w:t xml:space="preserve"> </w:t>
      </w:r>
      <w:r w:rsidRPr="0010552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5521">
        <w:rPr>
          <w:rFonts w:ascii="Palatino Linotype" w:eastAsia="Calibri" w:hAnsi="Palatino Linotype"/>
          <w:b/>
        </w:rPr>
        <w:t>Constitución Política de los Estados Unidos Mexicanos</w:t>
      </w:r>
      <w:r w:rsidRPr="00105521">
        <w:rPr>
          <w:rFonts w:ascii="Palatino Linotype" w:eastAsia="Calibri" w:hAnsi="Palatino Linotype"/>
        </w:rPr>
        <w:t xml:space="preserve">; 5, párrafos vigésimo, vigésimo primero y vigésimo segundo fracciones IV y V de la </w:t>
      </w:r>
      <w:r w:rsidRPr="00105521">
        <w:rPr>
          <w:rFonts w:ascii="Palatino Linotype" w:eastAsia="Calibri" w:hAnsi="Palatino Linotype"/>
          <w:b/>
        </w:rPr>
        <w:t>Constitución Política del Estado Libre y Soberano de México</w:t>
      </w:r>
      <w:r w:rsidRPr="00105521">
        <w:rPr>
          <w:rFonts w:ascii="Palatino Linotype" w:eastAsia="Calibri" w:hAnsi="Palatino Linotype"/>
        </w:rPr>
        <w:t xml:space="preserve">; artículos 1, 2 fracción II, 13, 29, 36 fracciones I y II, 176, 178, 179, 181 párrafo tercero y 185 </w:t>
      </w:r>
      <w:r w:rsidRPr="00105521">
        <w:rPr>
          <w:rFonts w:ascii="Palatino Linotype" w:eastAsia="Calibri" w:hAnsi="Palatino Linotype" w:cs="Arial"/>
        </w:rPr>
        <w:t xml:space="preserve">de la </w:t>
      </w:r>
      <w:r w:rsidRPr="00105521">
        <w:rPr>
          <w:rFonts w:ascii="Palatino Linotype" w:eastAsia="Calibri" w:hAnsi="Palatino Linotype" w:cs="Arial"/>
          <w:b/>
        </w:rPr>
        <w:t>Ley de Transparencia y Acceso a la Información Pública del Estado de México y Municipios</w:t>
      </w:r>
      <w:r w:rsidRPr="00105521">
        <w:rPr>
          <w:rFonts w:ascii="Palatino Linotype" w:eastAsia="Calibri" w:hAnsi="Palatino Linotype" w:cs="Arial"/>
        </w:rPr>
        <w:t xml:space="preserve">; ; y 10, 7, 9 fracciones I y XXIV, y 11 del </w:t>
      </w:r>
      <w:r w:rsidRPr="00105521">
        <w:rPr>
          <w:rFonts w:ascii="Palatino Linotype" w:eastAsia="Calibri" w:hAnsi="Palatino Linotype" w:cs="Arial"/>
          <w:b/>
        </w:rPr>
        <w:t>Reglamento Interior del Instituto de Transparencia, Acceso a la Información Pública y Protección de Datos Personales del Estado de México y Municipios.</w:t>
      </w:r>
      <w:bookmarkStart w:id="10" w:name="_Toc531713036"/>
    </w:p>
    <w:p w14:paraId="585BD86C" w14:textId="77777777" w:rsidR="00E00211" w:rsidRPr="002966DA" w:rsidRDefault="00E00211" w:rsidP="00E00211">
      <w:pPr>
        <w:autoSpaceDE w:val="0"/>
        <w:autoSpaceDN w:val="0"/>
        <w:adjustRightInd w:val="0"/>
        <w:spacing w:before="240" w:after="240" w:line="360" w:lineRule="auto"/>
        <w:contextualSpacing/>
        <w:jc w:val="both"/>
        <w:rPr>
          <w:rFonts w:ascii="Palatino Linotype" w:eastAsiaTheme="majorEastAsia" w:hAnsi="Palatino Linotype" w:cstheme="majorBidi"/>
          <w:b/>
          <w:sz w:val="10"/>
        </w:rPr>
      </w:pPr>
    </w:p>
    <w:p w14:paraId="568A983A" w14:textId="63F0ACE3" w:rsidR="00E00211" w:rsidRPr="00617784" w:rsidRDefault="00E00211" w:rsidP="00E00211">
      <w:pPr>
        <w:autoSpaceDE w:val="0"/>
        <w:autoSpaceDN w:val="0"/>
        <w:adjustRightInd w:val="0"/>
        <w:spacing w:before="240" w:after="240" w:line="360" w:lineRule="auto"/>
        <w:contextualSpacing/>
        <w:jc w:val="both"/>
        <w:rPr>
          <w:rFonts w:ascii="Palatino Linotype" w:eastAsiaTheme="majorEastAsia" w:hAnsi="Palatino Linotype" w:cstheme="majorBidi"/>
          <w:b/>
        </w:rPr>
      </w:pPr>
      <w:r w:rsidRPr="00105521">
        <w:rPr>
          <w:rFonts w:ascii="Palatino Linotype" w:eastAsiaTheme="majorEastAsia" w:hAnsi="Palatino Linotype" w:cstheme="majorBidi"/>
          <w:b/>
          <w:szCs w:val="26"/>
        </w:rPr>
        <w:t>SEGUNDO.</w:t>
      </w:r>
      <w:bookmarkEnd w:id="10"/>
      <w:r>
        <w:rPr>
          <w:rFonts w:ascii="Palatino Linotype" w:eastAsiaTheme="majorEastAsia" w:hAnsi="Palatino Linotype" w:cstheme="majorBidi"/>
          <w:b/>
          <w:szCs w:val="26"/>
        </w:rPr>
        <w:t xml:space="preserve"> </w:t>
      </w:r>
      <w:r w:rsidR="000D470B" w:rsidRPr="000431C7">
        <w:rPr>
          <w:rFonts w:ascii="Palatino Linotype" w:hAnsi="Palatino Linotype" w:cs="Arial"/>
          <w:b/>
          <w:lang w:val="es-MX"/>
        </w:rPr>
        <w:t>Oportunidad del recurso de revisión.</w:t>
      </w:r>
      <w:r w:rsidR="000D470B">
        <w:rPr>
          <w:rFonts w:ascii="Palatino Linotype" w:hAnsi="Palatino Linotype" w:cs="Arial"/>
          <w:b/>
          <w:lang w:val="es-MX"/>
        </w:rPr>
        <w:t xml:space="preserve"> </w:t>
      </w:r>
      <w:r w:rsidRPr="00C94285">
        <w:rPr>
          <w:rFonts w:ascii="Palatino Linotype" w:eastAsia="Calibri" w:hAnsi="Palatino Linotype"/>
        </w:rPr>
        <w:t xml:space="preserve">Es de precisar, que la Ley de Transparencia y Acceso a la Información Pública del Estado de México y Municipios, en sus artículos 166 y 178 describen la procedencia del recurso de revisión, asimismo señala que el plazo del </w:t>
      </w:r>
      <w:r w:rsidRPr="00C73CAC">
        <w:rPr>
          <w:rFonts w:ascii="Palatino Linotype" w:eastAsia="Calibri" w:hAnsi="Palatino Linotype"/>
          <w:b/>
        </w:rPr>
        <w:t>SUJETO OBLIGADO</w:t>
      </w:r>
      <w:r w:rsidRPr="00C94285">
        <w:rPr>
          <w:rFonts w:ascii="Palatino Linotype" w:eastAsia="Calibri" w:hAnsi="Palatino Linotype"/>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r>
        <w:rPr>
          <w:rFonts w:ascii="Palatino Linotype" w:eastAsia="Calibri" w:hAnsi="Palatino Linotype"/>
        </w:rPr>
        <w:t>.</w:t>
      </w:r>
    </w:p>
    <w:p w14:paraId="1DFEBF9D" w14:textId="77777777" w:rsidR="00E00211" w:rsidRPr="002966DA" w:rsidRDefault="00E00211" w:rsidP="00E00211">
      <w:pPr>
        <w:spacing w:line="360" w:lineRule="auto"/>
        <w:ind w:left="426"/>
        <w:contextualSpacing/>
        <w:jc w:val="both"/>
        <w:rPr>
          <w:rFonts w:ascii="Palatino Linotype" w:eastAsia="Calibri" w:hAnsi="Palatino Linotype"/>
          <w:sz w:val="12"/>
        </w:rPr>
      </w:pPr>
    </w:p>
    <w:p w14:paraId="5109BC02" w14:textId="77777777" w:rsidR="00E00211" w:rsidRPr="00C94285" w:rsidRDefault="00E00211" w:rsidP="00E00211">
      <w:pPr>
        <w:spacing w:before="240" w:after="240" w:line="360" w:lineRule="auto"/>
        <w:contextualSpacing/>
        <w:jc w:val="both"/>
        <w:rPr>
          <w:rFonts w:ascii="Palatino Linotype" w:eastAsia="Calibri" w:hAnsi="Palatino Linotype"/>
        </w:rPr>
      </w:pPr>
      <w:r w:rsidRPr="00C94285">
        <w:rPr>
          <w:rFonts w:ascii="Palatino Linotype" w:eastAsia="Calibri" w:hAnsi="Palatino Linotype"/>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w:t>
      </w:r>
      <w:r>
        <w:rPr>
          <w:rFonts w:ascii="Palatino Linotype" w:eastAsia="Calibri" w:hAnsi="Palatino Linotype"/>
        </w:rPr>
        <w:t xml:space="preserve"> la</w:t>
      </w:r>
      <w:r w:rsidRPr="00C94285">
        <w:rPr>
          <w:rFonts w:ascii="Palatino Linotype" w:eastAsia="Calibri" w:hAnsi="Palatino Linotype"/>
        </w:rPr>
        <w:t xml:space="preserve"> Ley de Transparencia y Acceso a la Información </w:t>
      </w:r>
      <w:r w:rsidRPr="00C94285">
        <w:rPr>
          <w:rFonts w:ascii="Palatino Linotype" w:eastAsia="Calibri" w:hAnsi="Palatino Linotype"/>
        </w:rPr>
        <w:lastRenderedPageBreak/>
        <w:t xml:space="preserve">Pública del Estado de México y Municipios, que dispone; ante la falta de respuesta dentro de los plazos establecidos en esta Ley, a una solicitud de acceso a la información pública, el recurso podrá ser interpuesto en cualquier momento. </w:t>
      </w:r>
    </w:p>
    <w:p w14:paraId="7D7E679F" w14:textId="77777777" w:rsidR="00E00211" w:rsidRPr="002966DA" w:rsidRDefault="00E00211" w:rsidP="00E00211">
      <w:pPr>
        <w:spacing w:before="240" w:after="240" w:line="360" w:lineRule="auto"/>
        <w:ind w:left="360"/>
        <w:contextualSpacing/>
        <w:jc w:val="both"/>
        <w:rPr>
          <w:rFonts w:ascii="Palatino Linotype" w:eastAsia="Calibri" w:hAnsi="Palatino Linotype"/>
          <w:sz w:val="14"/>
        </w:rPr>
      </w:pPr>
    </w:p>
    <w:p w14:paraId="755A493A" w14:textId="77777777" w:rsidR="00E00211" w:rsidRPr="00C94285" w:rsidRDefault="00E00211" w:rsidP="00E00211">
      <w:pPr>
        <w:spacing w:before="240" w:after="240" w:line="360" w:lineRule="auto"/>
        <w:contextualSpacing/>
        <w:jc w:val="both"/>
        <w:rPr>
          <w:rFonts w:ascii="Palatino Linotype" w:eastAsia="Calibri" w:hAnsi="Palatino Linotype"/>
        </w:rPr>
      </w:pPr>
      <w:r w:rsidRPr="00C94285">
        <w:rPr>
          <w:rFonts w:ascii="Palatino Linotype" w:eastAsia="Calibri" w:hAnsi="Palatino Linotype"/>
        </w:rPr>
        <w:t xml:space="preserve">Por lo que, tratándose de la negativa ficta no existe plazo para la interposición del recurso de revisión por tratarse de una afectación continua al Derecho de Acceso a la Información Pública, sirviendo de apoyo a lo anterior lo que </w:t>
      </w:r>
      <w:r>
        <w:rPr>
          <w:rFonts w:ascii="Palatino Linotype" w:eastAsia="Calibri" w:hAnsi="Palatino Linotype"/>
        </w:rPr>
        <w:t>establece</w:t>
      </w:r>
      <w:r w:rsidRPr="00C94285">
        <w:rPr>
          <w:rFonts w:ascii="Palatino Linotype" w:eastAsia="Calibri" w:hAnsi="Palatino Linotype"/>
        </w:rPr>
        <w:t xml:space="preserv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3B829B0" w14:textId="77777777" w:rsidR="00E00211" w:rsidRPr="002966DA" w:rsidRDefault="00E00211" w:rsidP="00E00211">
      <w:pPr>
        <w:spacing w:before="240" w:after="240" w:line="360" w:lineRule="auto"/>
        <w:ind w:left="360"/>
        <w:contextualSpacing/>
        <w:jc w:val="both"/>
        <w:rPr>
          <w:rFonts w:ascii="Palatino Linotype" w:eastAsia="Calibri" w:hAnsi="Palatino Linotype"/>
          <w:sz w:val="12"/>
        </w:rPr>
      </w:pPr>
    </w:p>
    <w:p w14:paraId="6B2402E7" w14:textId="77777777" w:rsidR="00E00211" w:rsidRPr="0059629B" w:rsidRDefault="00E00211" w:rsidP="00962BBA">
      <w:pPr>
        <w:ind w:left="851" w:right="709"/>
        <w:contextualSpacing/>
        <w:jc w:val="both"/>
        <w:rPr>
          <w:rFonts w:ascii="Palatino Linotype" w:eastAsia="Calibri" w:hAnsi="Palatino Linotype"/>
          <w:i/>
          <w:sz w:val="22"/>
        </w:rPr>
      </w:pPr>
      <w:r w:rsidRPr="0059629B">
        <w:rPr>
          <w:rFonts w:ascii="Palatino Linotype" w:eastAsia="Calibri" w:hAnsi="Palatino Linotype"/>
          <w:b/>
          <w:i/>
          <w:sz w:val="22"/>
        </w:rPr>
        <w:t>NEGATIVA FICTA. PLAZO PARA INTERPONER EL RECURSO DE REVISIÓN TRATÁNDOSE DE</w:t>
      </w:r>
      <w:r w:rsidRPr="0059629B">
        <w:rPr>
          <w:rFonts w:ascii="Palatino Linotype" w:eastAsia="Calibri" w:hAnsi="Palatino Linotype"/>
          <w:i/>
          <w:sz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F903A13" w14:textId="77777777" w:rsidR="00E00211" w:rsidRPr="0059629B" w:rsidRDefault="00E00211" w:rsidP="00E00211">
      <w:pPr>
        <w:spacing w:before="240" w:after="240" w:line="360" w:lineRule="auto"/>
        <w:ind w:left="360"/>
        <w:contextualSpacing/>
        <w:jc w:val="both"/>
        <w:rPr>
          <w:rFonts w:ascii="Palatino Linotype" w:eastAsia="Calibri" w:hAnsi="Palatino Linotype"/>
          <w:sz w:val="22"/>
        </w:rPr>
      </w:pPr>
    </w:p>
    <w:p w14:paraId="3B10C2F2" w14:textId="77777777" w:rsidR="00E00211" w:rsidRDefault="00E00211" w:rsidP="00E00211">
      <w:pPr>
        <w:spacing w:before="240" w:after="240" w:line="360" w:lineRule="auto"/>
        <w:contextualSpacing/>
        <w:jc w:val="both"/>
        <w:rPr>
          <w:rFonts w:ascii="Palatino Linotype" w:eastAsia="Calibri" w:hAnsi="Palatino Linotype"/>
        </w:rPr>
      </w:pPr>
      <w:r w:rsidRPr="00C94285">
        <w:rPr>
          <w:rFonts w:ascii="Palatino Linotype" w:eastAsia="Calibri" w:hAnsi="Palatino Linotype"/>
        </w:rPr>
        <w:lastRenderedPageBreak/>
        <w:t>Por consiguiente, tratándose de negativa ficta no existe plazo para la interposición del recurso de revisión por tratarse de una afectación continua al Derecho de Acceso a la Información Pública.</w:t>
      </w:r>
    </w:p>
    <w:p w14:paraId="0D1381CD" w14:textId="77777777" w:rsidR="00E00211" w:rsidRPr="002966DA" w:rsidRDefault="00E00211" w:rsidP="00E00211">
      <w:pPr>
        <w:spacing w:before="240" w:after="240" w:line="360" w:lineRule="auto"/>
        <w:ind w:left="360"/>
        <w:contextualSpacing/>
        <w:jc w:val="both"/>
        <w:rPr>
          <w:rFonts w:ascii="Palatino Linotype" w:eastAsia="Calibri" w:hAnsi="Palatino Linotype"/>
          <w:sz w:val="10"/>
        </w:rPr>
      </w:pPr>
    </w:p>
    <w:p w14:paraId="40675EAE" w14:textId="77777777" w:rsidR="00E00211" w:rsidRDefault="00E00211" w:rsidP="00E00211">
      <w:pPr>
        <w:spacing w:before="240" w:after="240" w:line="360" w:lineRule="auto"/>
        <w:contextualSpacing/>
        <w:jc w:val="both"/>
        <w:rPr>
          <w:rFonts w:ascii="Palatino Linotype" w:eastAsia="Calibri" w:hAnsi="Palatino Linotype"/>
          <w:b/>
        </w:rPr>
      </w:pPr>
      <w:r w:rsidRPr="00C94285">
        <w:rPr>
          <w:rFonts w:ascii="Palatino Linotype" w:eastAsia="Calibri" w:hAnsi="Palatino Linotype"/>
        </w:rPr>
        <w:t xml:space="preserve">Lo anterior, se explica porque la ausencia de una respuesta en la solicitud constituye un acto que vulnera el derecho de manera continua y actualizable cada día en tanto, no se emita la respuesta a la que esté impuesto el </w:t>
      </w:r>
      <w:r w:rsidRPr="00FF7482">
        <w:rPr>
          <w:rFonts w:ascii="Palatino Linotype" w:eastAsia="Calibri" w:hAnsi="Palatino Linotype"/>
          <w:b/>
        </w:rPr>
        <w:t xml:space="preserve">SUJETO OBLIGADO. </w:t>
      </w:r>
    </w:p>
    <w:p w14:paraId="58A7FE72" w14:textId="77777777" w:rsidR="00E00211" w:rsidRPr="002966DA" w:rsidRDefault="00E00211" w:rsidP="00E00211">
      <w:pPr>
        <w:spacing w:line="360" w:lineRule="auto"/>
        <w:ind w:left="426"/>
        <w:contextualSpacing/>
        <w:jc w:val="both"/>
        <w:rPr>
          <w:rFonts w:ascii="Palatino Linotype" w:eastAsia="Calibri" w:hAnsi="Palatino Linotype"/>
          <w:sz w:val="8"/>
        </w:rPr>
      </w:pPr>
    </w:p>
    <w:p w14:paraId="3FD92EF6" w14:textId="5AE5A7C2" w:rsidR="00E00211" w:rsidRPr="000521FA" w:rsidRDefault="00E00211" w:rsidP="00E00211">
      <w:pPr>
        <w:spacing w:line="360" w:lineRule="auto"/>
        <w:contextualSpacing/>
        <w:jc w:val="both"/>
        <w:rPr>
          <w:rFonts w:ascii="Palatino Linotype" w:eastAsia="Calibri" w:hAnsi="Palatino Linotype"/>
        </w:rPr>
      </w:pPr>
      <w:r w:rsidRPr="000521FA">
        <w:rPr>
          <w:rFonts w:ascii="Palatino Linotype" w:hAnsi="Palatino Linotype"/>
        </w:rPr>
        <w:t>Por</w:t>
      </w:r>
      <w:r w:rsidRPr="000521FA">
        <w:rPr>
          <w:rFonts w:ascii="Palatino Linotype" w:eastAsia="Calibri" w:hAnsi="Palatino Linotype" w:cs="Arial"/>
        </w:rPr>
        <w:t xml:space="preserve"> otro lado, los escritos contienen las formalidades previstas por el artículo 180 último </w:t>
      </w:r>
      <w:r w:rsidR="00CB06F0">
        <w:rPr>
          <w:rFonts w:ascii="Palatino Linotype" w:eastAsia="Calibri" w:hAnsi="Palatino Linotype" w:cs="Arial"/>
        </w:rPr>
        <w:t xml:space="preserve"> </w:t>
      </w:r>
      <w:r w:rsidRPr="000521FA">
        <w:rPr>
          <w:rFonts w:ascii="Palatino Linotype" w:eastAsia="Calibri" w:hAnsi="Palatino Linotype" w:cs="Arial"/>
        </w:rPr>
        <w:t>párrafo de la Ley de la materia actual, por lo que es procedente que este Instituto de Transparencia, Acceso a la Información Pública y Protección de Datos Personales del Estado de México y Municipios, conozca y resuelva el presente recurso.</w:t>
      </w:r>
    </w:p>
    <w:p w14:paraId="09EB5B27" w14:textId="1A9B896E" w:rsidR="00E00211" w:rsidRPr="007A13F6" w:rsidRDefault="00E00211" w:rsidP="00E00211">
      <w:pPr>
        <w:keepNext/>
        <w:keepLines/>
        <w:spacing w:before="240" w:line="360" w:lineRule="auto"/>
        <w:jc w:val="both"/>
        <w:outlineLvl w:val="0"/>
        <w:rPr>
          <w:rFonts w:ascii="Palatino Linotype" w:eastAsiaTheme="minorEastAsia" w:hAnsi="Palatino Linotype" w:cs="Arial"/>
          <w:lang w:val="es-ES_tradnl"/>
        </w:rPr>
      </w:pPr>
      <w:bookmarkStart w:id="11" w:name="_Toc531713037"/>
      <w:r w:rsidRPr="00105521">
        <w:rPr>
          <w:rFonts w:ascii="Palatino Linotype" w:eastAsiaTheme="majorEastAsia" w:hAnsi="Palatino Linotype" w:cstheme="majorBidi"/>
          <w:b/>
        </w:rPr>
        <w:t xml:space="preserve">TERCERO. </w:t>
      </w:r>
      <w:bookmarkEnd w:id="11"/>
      <w:r w:rsidR="000D470B">
        <w:rPr>
          <w:rFonts w:ascii="Palatino Linotype" w:eastAsiaTheme="majorEastAsia" w:hAnsi="Palatino Linotype" w:cstheme="majorBidi"/>
          <w:b/>
        </w:rPr>
        <w:t xml:space="preserve">Oportunidad y </w:t>
      </w:r>
      <w:proofErr w:type="spellStart"/>
      <w:r w:rsidR="000D470B">
        <w:rPr>
          <w:rFonts w:ascii="Palatino Linotype" w:eastAsiaTheme="majorEastAsia" w:hAnsi="Palatino Linotype" w:cstheme="majorBidi"/>
          <w:b/>
        </w:rPr>
        <w:t>procedibilidad</w:t>
      </w:r>
      <w:proofErr w:type="spellEnd"/>
      <w:r w:rsidR="000D470B">
        <w:rPr>
          <w:rFonts w:ascii="Palatino Linotype" w:eastAsiaTheme="majorEastAsia" w:hAnsi="Palatino Linotype" w:cstheme="majorBidi"/>
          <w:b/>
        </w:rPr>
        <w:t xml:space="preserve">. </w:t>
      </w:r>
      <w:r w:rsidRPr="00BA2A9A">
        <w:rPr>
          <w:rFonts w:ascii="Palatino Linotype" w:eastAsiaTheme="minorEastAsia" w:hAnsi="Palatino Linotype" w:cs="Arial"/>
          <w:lang w:val="es-ES_tradnl"/>
        </w:rPr>
        <w:t>De la solicitud presentada por la recurrente se puede observar que su interés de hacer valer su derecho de acceso a la información pública, radica en conocer el salario bruto y neto mensual que percibe el P</w:t>
      </w:r>
      <w:r>
        <w:rPr>
          <w:rFonts w:ascii="Palatino Linotype" w:eastAsiaTheme="minorEastAsia" w:hAnsi="Palatino Linotype" w:cs="Arial"/>
          <w:lang w:val="es-ES_tradnl"/>
        </w:rPr>
        <w:t>residente</w:t>
      </w:r>
      <w:r w:rsidRPr="00BA2A9A">
        <w:rPr>
          <w:rFonts w:ascii="Palatino Linotype" w:eastAsiaTheme="minorEastAsia" w:hAnsi="Palatino Linotype" w:cs="Arial"/>
          <w:lang w:val="es-ES_tradnl"/>
        </w:rPr>
        <w:t>, S</w:t>
      </w:r>
      <w:r>
        <w:rPr>
          <w:rFonts w:ascii="Palatino Linotype" w:eastAsiaTheme="minorEastAsia" w:hAnsi="Palatino Linotype" w:cs="Arial"/>
          <w:lang w:val="es-ES_tradnl"/>
        </w:rPr>
        <w:t>indico</w:t>
      </w:r>
      <w:r w:rsidRPr="00BA2A9A">
        <w:rPr>
          <w:rFonts w:ascii="Palatino Linotype" w:eastAsiaTheme="minorEastAsia" w:hAnsi="Palatino Linotype" w:cs="Arial"/>
          <w:lang w:val="es-ES_tradnl"/>
        </w:rPr>
        <w:t xml:space="preserve"> </w:t>
      </w:r>
      <w:r w:rsidR="0059629B">
        <w:rPr>
          <w:rFonts w:ascii="Palatino Linotype" w:eastAsiaTheme="minorEastAsia" w:hAnsi="Palatino Linotype" w:cs="Arial"/>
          <w:lang w:val="es-ES_tradnl"/>
        </w:rPr>
        <w:t xml:space="preserve">y </w:t>
      </w:r>
      <w:r w:rsidRPr="00BA2A9A">
        <w:rPr>
          <w:rFonts w:ascii="Palatino Linotype" w:eastAsiaTheme="minorEastAsia" w:hAnsi="Palatino Linotype" w:cs="Arial"/>
          <w:lang w:val="es-ES_tradnl"/>
        </w:rPr>
        <w:t>R</w:t>
      </w:r>
      <w:r>
        <w:rPr>
          <w:rFonts w:ascii="Palatino Linotype" w:eastAsiaTheme="minorEastAsia" w:hAnsi="Palatino Linotype" w:cs="Arial"/>
          <w:lang w:val="es-ES_tradnl"/>
        </w:rPr>
        <w:t>egidores</w:t>
      </w:r>
      <w:r w:rsidRPr="00BA2A9A">
        <w:rPr>
          <w:rFonts w:ascii="Palatino Linotype" w:eastAsiaTheme="minorEastAsia" w:hAnsi="Palatino Linotype" w:cs="Arial"/>
          <w:lang w:val="es-ES_tradnl"/>
        </w:rPr>
        <w:t xml:space="preserve"> del municipio de </w:t>
      </w:r>
      <w:proofErr w:type="spellStart"/>
      <w:r w:rsidRPr="00BA2A9A">
        <w:rPr>
          <w:rFonts w:ascii="Palatino Linotype" w:eastAsiaTheme="minorEastAsia" w:hAnsi="Palatino Linotype" w:cs="Arial"/>
          <w:lang w:val="es-ES_tradnl"/>
        </w:rPr>
        <w:t>N</w:t>
      </w:r>
      <w:r>
        <w:rPr>
          <w:rFonts w:ascii="Palatino Linotype" w:eastAsiaTheme="minorEastAsia" w:hAnsi="Palatino Linotype" w:cs="Arial"/>
          <w:lang w:val="es-ES_tradnl"/>
        </w:rPr>
        <w:t>opaltepec</w:t>
      </w:r>
      <w:proofErr w:type="spellEnd"/>
      <w:r w:rsidRPr="00BA2A9A">
        <w:rPr>
          <w:rFonts w:ascii="Palatino Linotype" w:eastAsiaTheme="minorEastAsia" w:hAnsi="Palatino Linotype" w:cs="Arial"/>
          <w:lang w:val="es-ES_tradnl"/>
        </w:rPr>
        <w:t>; sin embargo</w:t>
      </w:r>
      <w:r w:rsidRPr="007A13F6">
        <w:rPr>
          <w:rFonts w:ascii="Palatino Linotype" w:eastAsiaTheme="minorEastAsia" w:hAnsi="Palatino Linotype" w:cs="Arial"/>
          <w:lang w:val="es-ES_tradnl"/>
        </w:rPr>
        <w:t xml:space="preserve">, el </w:t>
      </w:r>
      <w:r w:rsidRPr="007A13F6">
        <w:rPr>
          <w:rFonts w:ascii="Palatino Linotype" w:eastAsiaTheme="minorEastAsia" w:hAnsi="Palatino Linotype" w:cs="Arial"/>
          <w:b/>
          <w:lang w:val="es-ES_tradnl"/>
        </w:rPr>
        <w:t>SUJETO OBLIGADO</w:t>
      </w:r>
      <w:r w:rsidRPr="007A13F6">
        <w:rPr>
          <w:rFonts w:ascii="Palatino Linotype" w:eastAsiaTheme="minorEastAsia" w:hAnsi="Palatino Linotype" w:cs="Arial"/>
          <w:lang w:val="es-ES_tradnl"/>
        </w:rPr>
        <w:t xml:space="preserve"> fue omiso en responder, lo que trajo como consecuencia la afectación al derecho en cuestión.</w:t>
      </w:r>
    </w:p>
    <w:p w14:paraId="25149B18" w14:textId="77777777" w:rsidR="00E00211" w:rsidRPr="0059629B" w:rsidRDefault="00E00211" w:rsidP="00E00211">
      <w:pPr>
        <w:spacing w:line="360" w:lineRule="auto"/>
        <w:ind w:left="426"/>
        <w:contextualSpacing/>
        <w:jc w:val="both"/>
        <w:rPr>
          <w:rFonts w:ascii="Palatino Linotype" w:eastAsiaTheme="minorEastAsia" w:hAnsi="Palatino Linotype" w:cs="Arial"/>
          <w:sz w:val="16"/>
          <w:lang w:val="es-ES_tradnl"/>
        </w:rPr>
      </w:pPr>
    </w:p>
    <w:p w14:paraId="228EBCD7" w14:textId="77777777" w:rsidR="00E00211" w:rsidRPr="004A33E2" w:rsidRDefault="00E00211" w:rsidP="00E00211">
      <w:pPr>
        <w:spacing w:line="360" w:lineRule="auto"/>
        <w:contextualSpacing/>
        <w:jc w:val="both"/>
        <w:rPr>
          <w:rFonts w:ascii="Palatino Linotype" w:eastAsiaTheme="minorEastAsia" w:hAnsi="Palatino Linotype" w:cs="Arial"/>
          <w:lang w:val="es-ES_tradnl"/>
        </w:rPr>
      </w:pPr>
      <w:r w:rsidRPr="004A33E2">
        <w:rPr>
          <w:rFonts w:ascii="Palatino Linotype" w:eastAsiaTheme="minorEastAsia" w:hAnsi="Palatino Linotype" w:cs="Arial"/>
          <w:lang w:val="es-ES_tradnl"/>
        </w:rPr>
        <w:t>Del análi</w:t>
      </w:r>
      <w:r>
        <w:rPr>
          <w:rFonts w:ascii="Palatino Linotype" w:eastAsiaTheme="minorEastAsia" w:hAnsi="Palatino Linotype" w:cs="Arial"/>
          <w:lang w:val="es-ES_tradnl"/>
        </w:rPr>
        <w:t>sis efectuado se advierte que el</w:t>
      </w:r>
      <w:r w:rsidRPr="004A33E2">
        <w:rPr>
          <w:rFonts w:ascii="Palatino Linotype" w:eastAsiaTheme="minorEastAsia" w:hAnsi="Palatino Linotype" w:cs="Arial"/>
          <w:lang w:val="es-ES_tradnl"/>
        </w:rPr>
        <w:t xml:space="preserve"> recurso</w:t>
      </w:r>
      <w:r>
        <w:rPr>
          <w:rFonts w:ascii="Palatino Linotype" w:eastAsiaTheme="minorEastAsia" w:hAnsi="Palatino Linotype" w:cs="Arial"/>
          <w:lang w:val="es-ES_tradnl"/>
        </w:rPr>
        <w:t xml:space="preserve"> de revisión de </w:t>
      </w:r>
      <w:r w:rsidRPr="004A33E2">
        <w:rPr>
          <w:rFonts w:ascii="Palatino Linotype" w:eastAsiaTheme="minorEastAsia" w:hAnsi="Palatino Linotype" w:cs="Arial"/>
          <w:lang w:val="es-ES_tradnl"/>
        </w:rPr>
        <w:t>que se trata es procedente, toda vez que se actualiza la hipótesis prevista en la fracción VII del artículo 179 de la ley de la materia, que dispone:</w:t>
      </w:r>
    </w:p>
    <w:p w14:paraId="58EF44C4" w14:textId="77777777" w:rsidR="00E00211" w:rsidRPr="00A228F2" w:rsidRDefault="00E00211" w:rsidP="00E00211">
      <w:pPr>
        <w:widowControl w:val="0"/>
        <w:autoSpaceDE w:val="0"/>
        <w:autoSpaceDN w:val="0"/>
        <w:adjustRightInd w:val="0"/>
        <w:spacing w:line="360" w:lineRule="auto"/>
        <w:contextualSpacing/>
        <w:jc w:val="both"/>
        <w:rPr>
          <w:rFonts w:ascii="Palatino Linotype" w:eastAsiaTheme="minorEastAsia" w:hAnsi="Palatino Linotype"/>
          <w:b/>
          <w:lang w:val="es-ES_tradnl"/>
        </w:rPr>
      </w:pPr>
    </w:p>
    <w:p w14:paraId="6E2E0A09" w14:textId="77777777" w:rsidR="00E00211" w:rsidRPr="00A228F2" w:rsidRDefault="00E00211" w:rsidP="00962BBA">
      <w:pPr>
        <w:ind w:left="851" w:right="567"/>
        <w:jc w:val="both"/>
        <w:rPr>
          <w:rFonts w:ascii="Palatino Linotype" w:eastAsiaTheme="minorEastAsia" w:hAnsi="Palatino Linotype" w:cs="Arial"/>
          <w:bCs/>
          <w:i/>
          <w:lang w:val="es-ES_tradnl"/>
        </w:rPr>
      </w:pPr>
      <w:r w:rsidRPr="00A228F2">
        <w:rPr>
          <w:rFonts w:ascii="Palatino Linotype" w:eastAsiaTheme="minorEastAsia" w:hAnsi="Palatino Linotype" w:cs="Arial"/>
          <w:b/>
          <w:bCs/>
          <w:i/>
          <w:lang w:val="es-ES_tradnl"/>
        </w:rPr>
        <w:t>Artículo 179.</w:t>
      </w:r>
      <w:r w:rsidRPr="00A228F2">
        <w:rPr>
          <w:rFonts w:ascii="Palatino Linotype" w:eastAsiaTheme="minorEastAsia" w:hAnsi="Palatino Linotype" w:cs="Arial"/>
          <w:bCs/>
          <w:i/>
          <w:lang w:val="es-ES_tradnl"/>
        </w:rPr>
        <w:t xml:space="preserve"> El </w:t>
      </w:r>
      <w:r w:rsidRPr="00A228F2">
        <w:rPr>
          <w:rFonts w:ascii="Palatino Linotype" w:eastAsiaTheme="minorEastAsia" w:hAnsi="Palatino Linotype" w:cs="Arial"/>
          <w:i/>
          <w:color w:val="000000"/>
          <w:lang w:val="es-ES_tradnl"/>
        </w:rPr>
        <w:t>recurso</w:t>
      </w:r>
      <w:r w:rsidRPr="00A228F2">
        <w:rPr>
          <w:rFonts w:ascii="Palatino Linotype" w:eastAsiaTheme="minorEastAsia" w:hAnsi="Palatino Linotype" w:cs="Arial"/>
          <w:bCs/>
          <w:i/>
          <w:lang w:val="es-ES_tradnl"/>
        </w:rPr>
        <w:t xml:space="preserve"> de revisión es un medio de protección que la Ley otorga a los particulares, para hacer valer su derecho de acceso a la información pública, y procederá en contra de las siguientes causas:</w:t>
      </w:r>
    </w:p>
    <w:p w14:paraId="7743FE9E" w14:textId="77777777" w:rsidR="00E00211" w:rsidRPr="00A228F2" w:rsidRDefault="00E00211" w:rsidP="00962BBA">
      <w:pPr>
        <w:ind w:left="851" w:right="567"/>
        <w:jc w:val="both"/>
        <w:rPr>
          <w:rFonts w:ascii="Palatino Linotype" w:eastAsiaTheme="minorEastAsia" w:hAnsi="Palatino Linotype" w:cs="Arial"/>
          <w:bCs/>
          <w:i/>
          <w:lang w:val="es-ES_tradnl"/>
        </w:rPr>
      </w:pPr>
      <w:r w:rsidRPr="00A228F2">
        <w:rPr>
          <w:rFonts w:ascii="Palatino Linotype" w:eastAsiaTheme="minorEastAsia" w:hAnsi="Palatino Linotype" w:cs="Arial"/>
          <w:b/>
          <w:bCs/>
          <w:i/>
          <w:lang w:val="es-ES_tradnl"/>
        </w:rPr>
        <w:lastRenderedPageBreak/>
        <w:t>…</w:t>
      </w:r>
    </w:p>
    <w:p w14:paraId="068BDD47" w14:textId="77777777" w:rsidR="00E00211" w:rsidRPr="00A228F2" w:rsidRDefault="00E00211" w:rsidP="00962BBA">
      <w:pPr>
        <w:ind w:left="851" w:right="567"/>
        <w:jc w:val="both"/>
        <w:rPr>
          <w:rFonts w:ascii="Palatino Linotype" w:eastAsiaTheme="minorEastAsia" w:hAnsi="Palatino Linotype" w:cs="Arial"/>
          <w:b/>
          <w:i/>
          <w:lang w:val="es-ES_tradnl"/>
        </w:rPr>
      </w:pPr>
      <w:r w:rsidRPr="00A228F2">
        <w:rPr>
          <w:rFonts w:ascii="Palatino Linotype" w:eastAsiaTheme="minorEastAsia" w:hAnsi="Palatino Linotype" w:cs="Arial"/>
          <w:b/>
          <w:bCs/>
          <w:i/>
          <w:u w:val="single"/>
          <w:lang w:val="es-ES_tradnl"/>
        </w:rPr>
        <w:t>VII. La falta de respuesta a una solicitud de acceso a la información;</w:t>
      </w:r>
    </w:p>
    <w:p w14:paraId="3EB4933B" w14:textId="77777777" w:rsidR="00E00211" w:rsidRPr="00A228F2" w:rsidRDefault="00E00211" w:rsidP="00962BBA">
      <w:pPr>
        <w:spacing w:line="360" w:lineRule="auto"/>
        <w:ind w:left="851" w:right="567"/>
        <w:jc w:val="both"/>
        <w:rPr>
          <w:rFonts w:ascii="Palatino Linotype" w:eastAsiaTheme="minorEastAsia" w:hAnsi="Palatino Linotype" w:cs="Arial"/>
          <w:i/>
          <w:lang w:val="es-ES_tradnl"/>
        </w:rPr>
      </w:pPr>
      <w:r w:rsidRPr="00A228F2">
        <w:rPr>
          <w:rFonts w:ascii="Palatino Linotype" w:eastAsiaTheme="minorEastAsia" w:hAnsi="Palatino Linotype" w:cs="Arial"/>
          <w:bCs/>
          <w:i/>
          <w:lang w:val="es-ES_tradnl"/>
        </w:rPr>
        <w:t>…</w:t>
      </w:r>
    </w:p>
    <w:p w14:paraId="30811F3E" w14:textId="77777777" w:rsidR="00E00211" w:rsidRDefault="00E00211" w:rsidP="00E00211">
      <w:pPr>
        <w:widowControl w:val="0"/>
        <w:autoSpaceDE w:val="0"/>
        <w:autoSpaceDN w:val="0"/>
        <w:adjustRightInd w:val="0"/>
        <w:spacing w:line="360" w:lineRule="auto"/>
        <w:contextualSpacing/>
        <w:jc w:val="both"/>
        <w:rPr>
          <w:rFonts w:ascii="Palatino Linotype" w:eastAsiaTheme="minorEastAsia" w:hAnsi="Palatino Linotype" w:cs="Arial"/>
          <w:lang w:val="es-ES_tradnl"/>
        </w:rPr>
      </w:pPr>
      <w:r w:rsidRPr="004A33E2">
        <w:rPr>
          <w:rFonts w:ascii="Palatino Linotype" w:eastAsiaTheme="minorEastAsia" w:hAnsi="Palatino Linotype" w:cs="Arial"/>
          <w:lang w:val="es-ES_tradnl"/>
        </w:rPr>
        <w:t xml:space="preserve">El precepto legal citado, establece </w:t>
      </w:r>
      <w:r>
        <w:rPr>
          <w:rFonts w:ascii="Palatino Linotype" w:eastAsiaTheme="minorEastAsia" w:hAnsi="Palatino Linotype" w:cs="Arial"/>
          <w:lang w:val="es-ES_tradnl"/>
        </w:rPr>
        <w:t>como supuesto de procedencia del recurso</w:t>
      </w:r>
      <w:r w:rsidRPr="004A33E2">
        <w:rPr>
          <w:rFonts w:ascii="Palatino Linotype" w:eastAsiaTheme="minorEastAsia" w:hAnsi="Palatino Linotype" w:cs="Arial"/>
          <w:lang w:val="es-ES_tradnl"/>
        </w:rPr>
        <w:t xml:space="preserve"> de revisión, aquellos casos en que no se dé respuesta a lo solicitado, y en el presente caso, el</w:t>
      </w:r>
      <w:r w:rsidRPr="004A33E2">
        <w:rPr>
          <w:rFonts w:ascii="Palatino Linotype" w:eastAsiaTheme="minorEastAsia" w:hAnsi="Palatino Linotype" w:cs="Arial"/>
          <w:b/>
          <w:lang w:val="es-ES_tradnl"/>
        </w:rPr>
        <w:t xml:space="preserve"> SUJETO OBLIGADO</w:t>
      </w:r>
      <w:r w:rsidRPr="004A33E2">
        <w:rPr>
          <w:rFonts w:ascii="Palatino Linotype" w:eastAsiaTheme="minorEastAsia" w:hAnsi="Palatino Linotype" w:cs="Arial"/>
          <w:lang w:val="es-ES_tradnl"/>
        </w:rPr>
        <w:t xml:space="preserve"> omitió dar respuesta a lo requerido por el solicitante.</w:t>
      </w:r>
    </w:p>
    <w:p w14:paraId="64985B13" w14:textId="77777777" w:rsidR="00E00211" w:rsidRPr="00115A8A" w:rsidRDefault="00E00211" w:rsidP="00E00211">
      <w:pPr>
        <w:widowControl w:val="0"/>
        <w:autoSpaceDE w:val="0"/>
        <w:autoSpaceDN w:val="0"/>
        <w:adjustRightInd w:val="0"/>
        <w:spacing w:line="360" w:lineRule="auto"/>
        <w:ind w:left="426"/>
        <w:contextualSpacing/>
        <w:jc w:val="both"/>
        <w:rPr>
          <w:rFonts w:ascii="Palatino Linotype" w:eastAsiaTheme="minorEastAsia" w:hAnsi="Palatino Linotype" w:cs="Arial"/>
          <w:sz w:val="12"/>
          <w:lang w:val="es-ES_tradnl"/>
        </w:rPr>
      </w:pPr>
    </w:p>
    <w:p w14:paraId="43EAC1AB" w14:textId="0EDDDD50" w:rsidR="00E00211" w:rsidRPr="00105521" w:rsidRDefault="00E00211" w:rsidP="00E00211">
      <w:pPr>
        <w:spacing w:line="360" w:lineRule="auto"/>
        <w:contextualSpacing/>
        <w:jc w:val="both"/>
        <w:rPr>
          <w:rFonts w:ascii="Palatino Linotype" w:eastAsiaTheme="minorEastAsia" w:hAnsi="Palatino Linotype" w:cs="Arial"/>
          <w:lang w:val="es-ES_tradnl"/>
        </w:rPr>
      </w:pPr>
      <w:r w:rsidRPr="00105521">
        <w:rPr>
          <w:rFonts w:ascii="Palatino Linotype" w:eastAsiaTheme="minorEastAsia" w:hAnsi="Palatino Linotype" w:cs="Arial"/>
          <w:color w:val="222222"/>
          <w:lang w:val="es-ES_tradnl"/>
        </w:rPr>
        <w:t xml:space="preserve">Es necesario precisar que el Sujeto </w:t>
      </w:r>
      <w:r>
        <w:rPr>
          <w:rFonts w:ascii="Palatino Linotype" w:eastAsiaTheme="minorEastAsia" w:hAnsi="Palatino Linotype" w:cs="Arial"/>
          <w:color w:val="222222"/>
          <w:lang w:val="es-ES_tradnl"/>
        </w:rPr>
        <w:t>Obligado fue omiso en rendir su respectivo informe justificado</w:t>
      </w:r>
      <w:r w:rsidRPr="00105521">
        <w:rPr>
          <w:rFonts w:ascii="Palatino Linotype" w:eastAsiaTheme="minorEastAsia" w:hAnsi="Palatino Linotype" w:cs="Arial"/>
          <w:color w:val="222222"/>
          <w:lang w:val="es-ES_tradnl"/>
        </w:rPr>
        <w:t xml:space="preserve"> en el término de los siete días hábiles otorgados, ante este Órgano Garante para manifestar lo que a derecho conviniera, asimismo dejó de justificar las razones o motivos que lo llevaron a</w:t>
      </w:r>
      <w:r>
        <w:rPr>
          <w:rFonts w:ascii="Palatino Linotype" w:eastAsiaTheme="minorEastAsia" w:hAnsi="Palatino Linotype" w:cs="Arial"/>
          <w:color w:val="222222"/>
          <w:lang w:val="es-ES_tradnl"/>
        </w:rPr>
        <w:t xml:space="preserve"> no emitir </w:t>
      </w:r>
      <w:r w:rsidRPr="00105521">
        <w:rPr>
          <w:rFonts w:ascii="Palatino Linotype" w:eastAsiaTheme="minorEastAsia" w:hAnsi="Palatino Linotype" w:cs="Arial"/>
          <w:color w:val="222222"/>
          <w:lang w:val="es-ES_tradnl"/>
        </w:rPr>
        <w:t xml:space="preserve"> </w:t>
      </w:r>
      <w:r>
        <w:rPr>
          <w:rFonts w:ascii="Palatino Linotype" w:eastAsiaTheme="minorEastAsia" w:hAnsi="Palatino Linotype" w:cs="Arial"/>
          <w:color w:val="222222"/>
          <w:lang w:val="es-ES_tradnl"/>
        </w:rPr>
        <w:t xml:space="preserve">su </w:t>
      </w:r>
      <w:r w:rsidRPr="00105521">
        <w:rPr>
          <w:rFonts w:ascii="Palatino Linotype" w:eastAsiaTheme="minorEastAsia" w:hAnsi="Palatino Linotype" w:cs="Arial"/>
          <w:color w:val="222222"/>
          <w:lang w:val="es-ES_tradnl"/>
        </w:rPr>
        <w:t xml:space="preserve">respuesta </w:t>
      </w:r>
      <w:r>
        <w:rPr>
          <w:rFonts w:ascii="Palatino Linotype" w:eastAsiaTheme="minorEastAsia" w:hAnsi="Palatino Linotype" w:cs="Arial"/>
          <w:color w:val="222222"/>
          <w:lang w:val="es-ES_tradnl"/>
        </w:rPr>
        <w:t>e impugnando la falta de respuesta</w:t>
      </w:r>
      <w:r w:rsidRPr="00105521">
        <w:rPr>
          <w:rFonts w:ascii="Palatino Linotype" w:eastAsiaTheme="minorEastAsia" w:hAnsi="Palatino Linotype" w:cs="Arial"/>
          <w:color w:val="222222"/>
          <w:lang w:val="es-ES_tradnl"/>
        </w:rPr>
        <w:t>, generando con esta omisión el perjuicio en su contra ya que impide que esta Autoridad conozca y resuelva el presente recurso con mayor cautela si consideramos lo que al respecto ha señalado la autoridad jurisdiccional al emitir el siguiente criterio:</w:t>
      </w:r>
    </w:p>
    <w:p w14:paraId="201487D4" w14:textId="77777777" w:rsidR="00E00211" w:rsidRPr="00105521" w:rsidRDefault="00E00211" w:rsidP="00E00211">
      <w:pPr>
        <w:spacing w:line="360" w:lineRule="auto"/>
        <w:contextualSpacing/>
        <w:jc w:val="both"/>
        <w:rPr>
          <w:rFonts w:ascii="Palatino Linotype" w:eastAsiaTheme="minorEastAsia" w:hAnsi="Palatino Linotype" w:cs="Arial"/>
          <w:lang w:val="es-ES_tradnl"/>
        </w:rPr>
      </w:pPr>
    </w:p>
    <w:p w14:paraId="4EAB872A" w14:textId="77777777" w:rsidR="00E00211" w:rsidRPr="00105521" w:rsidRDefault="00E00211" w:rsidP="00962BBA">
      <w:pPr>
        <w:shd w:val="clear" w:color="auto" w:fill="FFFFFF"/>
        <w:ind w:left="851" w:right="567"/>
        <w:jc w:val="both"/>
        <w:rPr>
          <w:rFonts w:ascii="Palatino Linotype" w:hAnsi="Palatino Linotype" w:cs="Arial"/>
          <w:i/>
          <w:iCs/>
          <w:color w:val="222222"/>
          <w:lang w:val="es-ES_tradnl"/>
        </w:rPr>
      </w:pPr>
      <w:r w:rsidRPr="00105521">
        <w:rPr>
          <w:rFonts w:ascii="Palatino Linotype" w:hAnsi="Palatino Linotype" w:cs="Arial"/>
          <w:b/>
          <w:bCs/>
          <w:i/>
          <w:iCs/>
          <w:color w:val="222222"/>
          <w:lang w:val="es-ES_tradnl"/>
        </w:rPr>
        <w:t>QUEJA, RECURSO DE. LA OMISION DE RENDIR EL INFORME RESPECTIVO NO IMPIDE QUE SE RESUELV</w:t>
      </w:r>
      <w:r w:rsidRPr="00105521">
        <w:rPr>
          <w:rFonts w:ascii="Palatino Linotype" w:hAnsi="Palatino Linotype" w:cs="Arial"/>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w:t>
      </w:r>
      <w:r w:rsidRPr="00105521">
        <w:rPr>
          <w:rFonts w:ascii="Palatino Linotype" w:hAnsi="Palatino Linotype" w:cs="Arial"/>
          <w:i/>
          <w:iCs/>
          <w:color w:val="222222"/>
          <w:lang w:val="es-ES_tradnl"/>
        </w:rPr>
        <w:lastRenderedPageBreak/>
        <w:t xml:space="preserve">XXII/96. Segunda Sala. Novena Época, Semanario Judicial de la Federación y su Gaceta, Tomo III, Abril de 1996. Página: 207.  </w:t>
      </w:r>
    </w:p>
    <w:p w14:paraId="256D241C" w14:textId="77777777" w:rsidR="00E00211" w:rsidRPr="00105521" w:rsidRDefault="00E00211" w:rsidP="00E00211">
      <w:pPr>
        <w:shd w:val="clear" w:color="auto" w:fill="FFFFFF"/>
        <w:spacing w:line="360" w:lineRule="auto"/>
        <w:ind w:left="426" w:right="567"/>
        <w:jc w:val="both"/>
        <w:rPr>
          <w:rFonts w:ascii="Palatino Linotype" w:hAnsi="Palatino Linotype" w:cs="Arial"/>
          <w:color w:val="222222"/>
          <w:sz w:val="19"/>
          <w:szCs w:val="19"/>
        </w:rPr>
      </w:pPr>
    </w:p>
    <w:p w14:paraId="670F1572" w14:textId="77777777" w:rsidR="00E00211" w:rsidRPr="00105521" w:rsidRDefault="00E00211" w:rsidP="00E00211">
      <w:pPr>
        <w:spacing w:line="360" w:lineRule="auto"/>
        <w:contextualSpacing/>
        <w:jc w:val="both"/>
        <w:rPr>
          <w:rFonts w:ascii="Palatino Linotype" w:eastAsiaTheme="minorEastAsia" w:hAnsi="Palatino Linotype" w:cs="Arial"/>
          <w:lang w:val="es-ES_tradnl"/>
        </w:rPr>
      </w:pPr>
      <w:r w:rsidRPr="00105521">
        <w:rPr>
          <w:rFonts w:ascii="Palatino Linotype" w:eastAsiaTheme="minorEastAsia" w:hAnsi="Palatino Linotype" w:cs="Arial"/>
          <w:color w:val="222222"/>
          <w:lang w:val="es-ES_tradnl"/>
        </w:rPr>
        <w:t>Por lo cual se reitera, que la falta de informe justificado no impide que este Órgano Garante conozca y resuelva el recurso de revisión, solo propicia que el </w:t>
      </w:r>
      <w:r w:rsidRPr="00105521">
        <w:rPr>
          <w:rFonts w:ascii="Palatino Linotype" w:eastAsiaTheme="minorEastAsia" w:hAnsi="Palatino Linotype" w:cs="Arial"/>
          <w:b/>
          <w:bCs/>
          <w:color w:val="222222"/>
          <w:lang w:val="es-ES_tradnl"/>
        </w:rPr>
        <w:t>SUJETO OBLIGADO</w:t>
      </w:r>
      <w:r w:rsidRPr="00105521">
        <w:rPr>
          <w:rFonts w:ascii="Palatino Linotype" w:eastAsiaTheme="minorEastAsia" w:hAnsi="Palatino Linotype" w:cs="Arial"/>
          <w:color w:val="222222"/>
          <w:lang w:val="es-ES_tradnl"/>
        </w:rPr>
        <w:t> pierda la oportunidad de justificar su falta de respuesta y manifestar lo que a su derecho convenga.</w:t>
      </w:r>
    </w:p>
    <w:p w14:paraId="48B696FF" w14:textId="77777777" w:rsidR="00E00211" w:rsidRPr="00105521" w:rsidRDefault="00E00211" w:rsidP="00E00211">
      <w:pPr>
        <w:ind w:left="720"/>
        <w:contextualSpacing/>
        <w:rPr>
          <w:rFonts w:ascii="Palatino Linotype" w:eastAsiaTheme="minorEastAsia" w:hAnsi="Palatino Linotype" w:cs="Arial"/>
          <w:color w:val="000000" w:themeColor="text1"/>
          <w:lang w:val="es-ES_tradnl"/>
        </w:rPr>
      </w:pPr>
    </w:p>
    <w:p w14:paraId="1FCB93A6" w14:textId="7B480780" w:rsidR="00E00211" w:rsidRDefault="00E00211" w:rsidP="00E00211">
      <w:pPr>
        <w:spacing w:line="360" w:lineRule="auto"/>
        <w:contextualSpacing/>
        <w:jc w:val="both"/>
        <w:rPr>
          <w:rFonts w:ascii="Palatino Linotype" w:eastAsia="MS Mincho" w:hAnsi="Palatino Linotype" w:cs="Arial"/>
          <w:lang w:val="es-ES_tradnl"/>
        </w:rPr>
      </w:pPr>
      <w:r w:rsidRPr="00105521">
        <w:rPr>
          <w:rFonts w:ascii="Palatino Linotype" w:eastAsia="MS Mincho" w:hAnsi="Palatino Linotype" w:cs="Arial"/>
          <w:lang w:val="es-ES_tradnl"/>
        </w:rPr>
        <w:t xml:space="preserve">De este modo, en términos meramente procedimentales, </w:t>
      </w:r>
      <w:r w:rsidR="00962BBA">
        <w:rPr>
          <w:rFonts w:ascii="Palatino Linotype" w:eastAsia="MS Mincho" w:hAnsi="Palatino Linotype" w:cs="Arial"/>
          <w:lang w:val="es-ES_tradnl"/>
        </w:rPr>
        <w:t>se justifica la</w:t>
      </w:r>
      <w:r w:rsidRPr="00105521">
        <w:rPr>
          <w:rFonts w:ascii="Palatino Linotype" w:eastAsia="MS Mincho" w:hAnsi="Palatino Linotype" w:cs="Arial"/>
          <w:lang w:val="es-ES_tradnl"/>
        </w:rPr>
        <w:t xml:space="preserve"> procedencia del recurso de revisión estableci</w:t>
      </w:r>
      <w:r>
        <w:rPr>
          <w:rFonts w:ascii="Palatino Linotype" w:eastAsia="MS Mincho" w:hAnsi="Palatino Linotype" w:cs="Arial"/>
          <w:lang w:val="es-ES_tradnl"/>
        </w:rPr>
        <w:t xml:space="preserve">da en el artículo 179 fracción </w:t>
      </w:r>
      <w:r w:rsidRPr="00886151">
        <w:rPr>
          <w:rFonts w:ascii="Palatino Linotype" w:eastAsia="MS Mincho" w:hAnsi="Palatino Linotype" w:cs="Arial"/>
          <w:b/>
          <w:lang w:val="es-ES_tradnl"/>
        </w:rPr>
        <w:t xml:space="preserve">XI </w:t>
      </w:r>
      <w:r w:rsidRPr="00105521">
        <w:rPr>
          <w:rFonts w:ascii="Palatino Linotype" w:eastAsia="MS Mincho" w:hAnsi="Palatino Linotype" w:cs="Arial"/>
          <w:lang w:val="es-ES_tradnl"/>
        </w:rPr>
        <w:t>de la Ley de Transparencia y Acceso a la Información Pública del Estado de México y Municipios.</w:t>
      </w:r>
    </w:p>
    <w:p w14:paraId="5FEC0711" w14:textId="77777777" w:rsidR="00E00211" w:rsidRPr="00115A8A" w:rsidRDefault="00E00211" w:rsidP="00E00211">
      <w:pPr>
        <w:spacing w:line="360" w:lineRule="auto"/>
        <w:contextualSpacing/>
        <w:jc w:val="both"/>
        <w:rPr>
          <w:rFonts w:ascii="Palatino Linotype" w:eastAsia="MS Mincho" w:hAnsi="Palatino Linotype" w:cs="Arial"/>
          <w:sz w:val="14"/>
          <w:lang w:val="es-ES_tradnl"/>
        </w:rPr>
      </w:pPr>
    </w:p>
    <w:p w14:paraId="7CD8071E" w14:textId="1B67FCCB" w:rsidR="00E00211" w:rsidRPr="00115A8A" w:rsidRDefault="00F42A20" w:rsidP="00E00211">
      <w:pPr>
        <w:spacing w:line="360" w:lineRule="auto"/>
        <w:contextualSpacing/>
        <w:jc w:val="both"/>
        <w:rPr>
          <w:rFonts w:ascii="Palatino Linotype" w:eastAsia="MS Mincho" w:hAnsi="Palatino Linotype" w:cs="Arial"/>
          <w:b/>
          <w:lang w:val="es-ES_tradnl"/>
        </w:rPr>
      </w:pPr>
      <w:r>
        <w:rPr>
          <w:rFonts w:ascii="Palatino Linotype" w:eastAsia="MS Mincho" w:hAnsi="Palatino Linotype" w:cs="Arial"/>
          <w:b/>
          <w:lang w:val="es-ES_tradnl"/>
        </w:rPr>
        <w:t>CUARTO.</w:t>
      </w:r>
      <w:r w:rsidR="00E00211" w:rsidRPr="00115A8A">
        <w:rPr>
          <w:rFonts w:ascii="Palatino Linotype" w:eastAsia="MS Mincho" w:hAnsi="Palatino Linotype" w:cs="Arial"/>
          <w:lang w:val="es-ES_tradnl"/>
        </w:rPr>
        <w:t xml:space="preserve"> </w:t>
      </w:r>
      <w:r w:rsidR="000D470B" w:rsidRPr="000D470B">
        <w:rPr>
          <w:rFonts w:ascii="Palatino Linotype" w:eastAsia="MS Mincho" w:hAnsi="Palatino Linotype" w:cs="Arial"/>
          <w:b/>
          <w:lang w:val="es-ES_tradnl"/>
        </w:rPr>
        <w:t xml:space="preserve">Materia de la revisión. </w:t>
      </w:r>
      <w:r w:rsidR="00E00211" w:rsidRPr="00115A8A">
        <w:rPr>
          <w:rFonts w:ascii="Palatino Linotype" w:eastAsia="MS Mincho" w:hAnsi="Palatino Linotype" w:cs="Arial"/>
          <w:lang w:val="es-ES_tradnl"/>
        </w:rPr>
        <w:t xml:space="preserve">De la revisión a las constancias que obran en el expediente electrónico, se advierte que el tema sobre el que este Instituto se pronunciará será: </w:t>
      </w:r>
      <w:r w:rsidR="00E00211" w:rsidRPr="00115A8A">
        <w:rPr>
          <w:rFonts w:ascii="Palatino Linotype" w:eastAsia="MS Mincho" w:hAnsi="Palatino Linotype" w:cs="Arial"/>
          <w:b/>
          <w:lang w:val="es-ES_tradnl"/>
        </w:rPr>
        <w:t>verificar si el sujeto obligado en el ejercicio de sus atribuciones posee, administra o genera la información solicitada y si resulta procedente su entrega.</w:t>
      </w:r>
    </w:p>
    <w:p w14:paraId="2E788B2F" w14:textId="77777777" w:rsidR="006634F9" w:rsidRDefault="006634F9" w:rsidP="00351CB3">
      <w:pPr>
        <w:spacing w:before="240" w:after="240" w:line="360" w:lineRule="auto"/>
        <w:contextualSpacing/>
        <w:jc w:val="both"/>
        <w:rPr>
          <w:rFonts w:ascii="Palatino Linotype" w:hAnsi="Palatino Linotype" w:cs="Arial"/>
          <w:b/>
        </w:rPr>
      </w:pPr>
    </w:p>
    <w:p w14:paraId="0BBA4410" w14:textId="3BFD5B71" w:rsidR="00174176" w:rsidRPr="00F1273F" w:rsidRDefault="00F42A20" w:rsidP="001549E2">
      <w:pPr>
        <w:spacing w:before="240" w:after="240" w:line="360" w:lineRule="auto"/>
        <w:jc w:val="both"/>
        <w:rPr>
          <w:rFonts w:ascii="Palatino Linotype" w:hAnsi="Palatino Linotype"/>
          <w:color w:val="000000"/>
        </w:rPr>
      </w:pPr>
      <w:r>
        <w:rPr>
          <w:rFonts w:ascii="Palatino Linotype" w:hAnsi="Palatino Linotype" w:cs="Arial"/>
          <w:b/>
        </w:rPr>
        <w:t>QUINTO.</w:t>
      </w:r>
      <w:r w:rsidR="00351CB3" w:rsidRPr="001549E2">
        <w:rPr>
          <w:rFonts w:ascii="Palatino Linotype" w:hAnsi="Palatino Linotype" w:cs="Arial"/>
          <w:b/>
        </w:rPr>
        <w:t xml:space="preserve"> </w:t>
      </w:r>
      <w:r w:rsidR="000D470B">
        <w:rPr>
          <w:rFonts w:ascii="Palatino Linotype" w:hAnsi="Palatino Linotype" w:cs="Arial"/>
          <w:b/>
        </w:rPr>
        <w:t xml:space="preserve">Estudio del asunto. </w:t>
      </w:r>
      <w:r w:rsidR="00D27DE6" w:rsidRPr="001549E2">
        <w:rPr>
          <w:rFonts w:ascii="Palatino Linotype" w:hAnsi="Palatino Linotype" w:cs="Arial"/>
        </w:rPr>
        <w:t xml:space="preserve">Previo análisis del presente Recurso de Revisión es importante recordar que </w:t>
      </w:r>
      <w:r w:rsidR="00351CB3" w:rsidRPr="001549E2">
        <w:rPr>
          <w:rFonts w:ascii="Palatino Linotype" w:hAnsi="Palatino Linotype" w:cs="Arial"/>
        </w:rPr>
        <w:t xml:space="preserve">la parte solicitante le requirió al Ayuntamiento de </w:t>
      </w:r>
      <w:proofErr w:type="spellStart"/>
      <w:r w:rsidR="001549E2" w:rsidRPr="001549E2">
        <w:rPr>
          <w:rFonts w:ascii="Palatino Linotype" w:hAnsi="Palatino Linotype" w:cs="Arial"/>
        </w:rPr>
        <w:t>Nopaltepec</w:t>
      </w:r>
      <w:proofErr w:type="spellEnd"/>
      <w:r w:rsidR="00351CB3" w:rsidRPr="001549E2">
        <w:rPr>
          <w:rFonts w:ascii="Palatino Linotype" w:hAnsi="Palatino Linotype" w:cs="Arial"/>
        </w:rPr>
        <w:t xml:space="preserve"> le proporcionara, </w:t>
      </w:r>
      <w:r w:rsidR="001549E2" w:rsidRPr="001549E2">
        <w:rPr>
          <w:rFonts w:ascii="Palatino Linotype" w:hAnsi="Palatino Linotype" w:cs="Arial"/>
        </w:rPr>
        <w:t>el salario bruto y salario neto del Presidente Municipal, Sindico y Regidores.</w:t>
      </w:r>
    </w:p>
    <w:p w14:paraId="73945A8D" w14:textId="617B6CF5" w:rsidR="000B1AD6" w:rsidRDefault="000B1AD6" w:rsidP="000B1AD6">
      <w:pPr>
        <w:spacing w:before="240" w:after="240" w:line="360" w:lineRule="auto"/>
        <w:jc w:val="both"/>
        <w:rPr>
          <w:rFonts w:ascii="Palatino Linotype" w:hAnsi="Palatino Linotype" w:cs="Arial"/>
        </w:rPr>
      </w:pPr>
      <w:r w:rsidRPr="003F5D4D">
        <w:rPr>
          <w:rFonts w:ascii="Palatino Linotype" w:hAnsi="Palatino Linotype" w:cs="Arial"/>
        </w:rPr>
        <w:t xml:space="preserve">Por </w:t>
      </w:r>
      <w:r>
        <w:rPr>
          <w:rFonts w:ascii="Palatino Linotype" w:hAnsi="Palatino Linotype" w:cs="Arial"/>
        </w:rPr>
        <w:t xml:space="preserve">su parte, </w:t>
      </w:r>
      <w:r w:rsidRPr="003F5D4D">
        <w:rPr>
          <w:rFonts w:ascii="Palatino Linotype" w:hAnsi="Palatino Linotype" w:cs="Arial"/>
        </w:rPr>
        <w:t xml:space="preserve">el </w:t>
      </w:r>
      <w:r w:rsidRPr="00A75E75">
        <w:rPr>
          <w:rFonts w:ascii="Palatino Linotype" w:hAnsi="Palatino Linotype" w:cs="Arial"/>
          <w:b/>
        </w:rPr>
        <w:t>Sujeto Obligado</w:t>
      </w:r>
      <w:r>
        <w:rPr>
          <w:rFonts w:ascii="Palatino Linotype" w:hAnsi="Palatino Linotype" w:cs="Arial"/>
        </w:rPr>
        <w:t>, omitió dar respuesta a la solicitud de información del particular.</w:t>
      </w:r>
    </w:p>
    <w:p w14:paraId="1D62B84E" w14:textId="0793DCBC"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lastRenderedPageBreak/>
        <w:t>In</w:t>
      </w:r>
      <w:r w:rsidR="005366B2">
        <w:rPr>
          <w:rFonts w:ascii="Palatino Linotype" w:hAnsi="Palatino Linotype" w:cs="Arial"/>
        </w:rPr>
        <w:t>conforme el recurrente, interpuso</w:t>
      </w:r>
      <w:r>
        <w:rPr>
          <w:rFonts w:ascii="Palatino Linotype" w:hAnsi="Palatino Linotype" w:cs="Arial"/>
        </w:rPr>
        <w:t xml:space="preserve"> el Recurso de Revisión que se resuelve, por </w:t>
      </w:r>
      <w:r w:rsidR="00E62C83">
        <w:rPr>
          <w:rFonts w:ascii="Palatino Linotype" w:hAnsi="Palatino Linotype" w:cs="Arial"/>
        </w:rPr>
        <w:t>no trasparentar el Sujeto Obligado la información solicitada.</w:t>
      </w:r>
    </w:p>
    <w:p w14:paraId="6F453D28" w14:textId="77777777"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Una vez notificado el recurso de revisión al Sujeto Obligado, este no rindió su informe justificado como así consta en el apartado de manifestaciones del </w:t>
      </w:r>
      <w:r w:rsidRPr="00A22E55">
        <w:rPr>
          <w:rFonts w:ascii="Palatino Linotype" w:hAnsi="Palatino Linotype" w:cs="Arial"/>
        </w:rPr>
        <w:t>Sistema de Acceso a la Información Mexiquense</w:t>
      </w:r>
      <w:r>
        <w:rPr>
          <w:rFonts w:ascii="Palatino Linotype" w:hAnsi="Palatino Linotype" w:cs="Arial"/>
        </w:rPr>
        <w:t xml:space="preserve"> (SAIMEX).</w:t>
      </w:r>
    </w:p>
    <w:p w14:paraId="4E4829E8" w14:textId="4DA922B2" w:rsidR="000B1AD6" w:rsidRDefault="000B1AD6" w:rsidP="000B1AD6">
      <w:pPr>
        <w:spacing w:before="240" w:after="240" w:line="360" w:lineRule="auto"/>
        <w:jc w:val="both"/>
        <w:rPr>
          <w:rFonts w:ascii="Palatino Linotype" w:hAnsi="Palatino Linotype" w:cs="Arial"/>
        </w:rPr>
      </w:pPr>
      <w:r w:rsidRPr="000534DD">
        <w:rPr>
          <w:rFonts w:ascii="Palatino Linotype" w:hAnsi="Palatino Linotype" w:cs="Arial"/>
        </w:rPr>
        <w:t>Como se puede observar en los antecedentes de la presente resolución, el Sujeto</w:t>
      </w:r>
      <w:r>
        <w:rPr>
          <w:rFonts w:ascii="Palatino Linotype" w:hAnsi="Palatino Linotype" w:cs="Arial"/>
        </w:rPr>
        <w:t xml:space="preserve"> </w:t>
      </w:r>
      <w:r w:rsidRPr="000534DD">
        <w:rPr>
          <w:rFonts w:ascii="Palatino Linotype" w:hAnsi="Palatino Linotype" w:cs="Arial"/>
        </w:rPr>
        <w:t xml:space="preserve">Obligado fue omiso en emitir respuesta 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solicitud</w:t>
      </w:r>
      <w:r w:rsidRPr="000534DD">
        <w:rPr>
          <w:rFonts w:ascii="Palatino Linotype" w:hAnsi="Palatino Linotype" w:cs="Arial"/>
        </w:rPr>
        <w:t xml:space="preserve"> de información, por lo que se advierte que </w:t>
      </w:r>
      <w:r>
        <w:rPr>
          <w:rFonts w:ascii="Palatino Linotype" w:hAnsi="Palatino Linotype" w:cs="Arial"/>
        </w:rPr>
        <w:t>el</w:t>
      </w:r>
      <w:r w:rsidRPr="000534DD">
        <w:rPr>
          <w:rFonts w:ascii="Palatino Linotype" w:hAnsi="Palatino Linotype" w:cs="Arial"/>
        </w:rPr>
        <w:t xml:space="preserve"> </w:t>
      </w:r>
      <w:r>
        <w:rPr>
          <w:rFonts w:ascii="Palatino Linotype" w:hAnsi="Palatino Linotype" w:cs="Arial"/>
        </w:rPr>
        <w:t>motivo</w:t>
      </w:r>
      <w:r w:rsidRPr="000534DD">
        <w:rPr>
          <w:rFonts w:ascii="Palatino Linotype" w:hAnsi="Palatino Linotype" w:cs="Arial"/>
        </w:rPr>
        <w:t xml:space="preserve"> de inconformidad </w:t>
      </w:r>
      <w:r>
        <w:rPr>
          <w:rFonts w:ascii="Palatino Linotype" w:hAnsi="Palatino Linotype" w:cs="Arial"/>
        </w:rPr>
        <w:t>enunciado</w:t>
      </w:r>
      <w:r w:rsidRPr="000534DD">
        <w:rPr>
          <w:rFonts w:ascii="Palatino Linotype" w:hAnsi="Palatino Linotype" w:cs="Arial"/>
        </w:rPr>
        <w:t xml:space="preserve"> por </w:t>
      </w:r>
      <w:r w:rsidR="0041371C">
        <w:rPr>
          <w:rFonts w:ascii="Palatino Linotype" w:hAnsi="Palatino Linotype" w:cs="Arial"/>
        </w:rPr>
        <w:t>el</w:t>
      </w:r>
      <w:r>
        <w:rPr>
          <w:rFonts w:ascii="Palatino Linotype" w:hAnsi="Palatino Linotype" w:cs="Arial"/>
        </w:rPr>
        <w:t xml:space="preserve"> Recurrente resulta fundado</w:t>
      </w:r>
      <w:r w:rsidRPr="000534DD">
        <w:rPr>
          <w:rFonts w:ascii="Palatino Linotype" w:hAnsi="Palatino Linotype" w:cs="Arial"/>
        </w:rPr>
        <w:t>, pues efectivamente tr</w:t>
      </w:r>
      <w:r>
        <w:rPr>
          <w:rFonts w:ascii="Palatino Linotype" w:hAnsi="Palatino Linotype" w:cs="Arial"/>
        </w:rPr>
        <w:t>anscurrió</w:t>
      </w:r>
      <w:r w:rsidRPr="000534DD">
        <w:rPr>
          <w:rFonts w:ascii="Palatino Linotype" w:hAnsi="Palatino Linotype" w:cs="Arial"/>
        </w:rPr>
        <w:t xml:space="preserve"> el plazo para dar respuesta</w:t>
      </w:r>
      <w:r>
        <w:rPr>
          <w:rFonts w:ascii="Palatino Linotype" w:hAnsi="Palatino Linotype" w:cs="Arial"/>
        </w:rPr>
        <w:t>,</w:t>
      </w:r>
      <w:r w:rsidRPr="000534DD">
        <w:rPr>
          <w:rFonts w:ascii="Palatino Linotype" w:hAnsi="Palatino Linotype" w:cs="Arial"/>
        </w:rPr>
        <w:t xml:space="preserve"> determinado por la 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sidRPr="000534DD">
        <w:rPr>
          <w:rFonts w:ascii="Palatino Linotype" w:hAnsi="Palatino Linotype" w:cs="Arial"/>
        </w:rPr>
        <w:t xml:space="preserve">, sin que el Sujeto Obligado atendiera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petición de información; en consecuencia</w:t>
      </w:r>
      <w:r w:rsidRPr="000534DD">
        <w:rPr>
          <w:rFonts w:ascii="Palatino Linotype" w:hAnsi="Palatino Linotype" w:cs="Arial"/>
        </w:rPr>
        <w:t>,</w:t>
      </w:r>
      <w:r>
        <w:rPr>
          <w:rFonts w:ascii="Palatino Linotype" w:hAnsi="Palatino Linotype" w:cs="Arial"/>
        </w:rPr>
        <w:t xml:space="preserve"> </w:t>
      </w:r>
      <w:r w:rsidRPr="000534DD">
        <w:rPr>
          <w:rFonts w:ascii="Palatino Linotype" w:hAnsi="Palatino Linotype" w:cs="Arial"/>
        </w:rPr>
        <w:t xml:space="preserve">es </w:t>
      </w:r>
      <w:r>
        <w:rPr>
          <w:rFonts w:ascii="Palatino Linotype" w:hAnsi="Palatino Linotype" w:cs="Arial"/>
        </w:rPr>
        <w:t>evidente que se transgredió su Derecho Constitucional de Acceso a la Información P</w:t>
      </w:r>
      <w:r w:rsidRPr="000534DD">
        <w:rPr>
          <w:rFonts w:ascii="Palatino Linotype" w:hAnsi="Palatino Linotype" w:cs="Arial"/>
        </w:rPr>
        <w:t>ública</w:t>
      </w:r>
      <w:r>
        <w:rPr>
          <w:rFonts w:ascii="Palatino Linotype" w:hAnsi="Palatino Linotype" w:cs="Arial"/>
        </w:rPr>
        <w:t xml:space="preserve"> </w:t>
      </w:r>
      <w:r w:rsidRPr="000534DD">
        <w:rPr>
          <w:rFonts w:ascii="Palatino Linotype" w:hAnsi="Palatino Linotype" w:cs="Arial"/>
        </w:rPr>
        <w:t xml:space="preserve">previsto en el artículo 6 de la Constitución Política de los Estados Unidos Mexicanos y el artículo 5 de la Constitución Política del Estado Libre y Soberano de </w:t>
      </w:r>
      <w:r>
        <w:rPr>
          <w:rFonts w:ascii="Palatino Linotype" w:hAnsi="Palatino Linotype" w:cs="Arial"/>
        </w:rPr>
        <w:t>México.</w:t>
      </w:r>
    </w:p>
    <w:p w14:paraId="417C8538" w14:textId="3761AA33" w:rsidR="000B1AD6" w:rsidRDefault="00E62C83" w:rsidP="000B1AD6">
      <w:pPr>
        <w:spacing w:before="240" w:after="240" w:line="360" w:lineRule="auto"/>
        <w:jc w:val="both"/>
        <w:rPr>
          <w:rFonts w:ascii="Palatino Linotype" w:hAnsi="Palatino Linotype" w:cs="Arial"/>
        </w:rPr>
      </w:pPr>
      <w:r>
        <w:rPr>
          <w:rFonts w:ascii="Palatino Linotype" w:hAnsi="Palatino Linotype" w:cs="Arial"/>
        </w:rPr>
        <w:t>En otras palabra</w:t>
      </w:r>
      <w:r w:rsidR="00CB06F0">
        <w:rPr>
          <w:rFonts w:ascii="Palatino Linotype" w:hAnsi="Palatino Linotype" w:cs="Arial"/>
        </w:rPr>
        <w:t>s</w:t>
      </w:r>
      <w:r>
        <w:rPr>
          <w:rFonts w:ascii="Palatino Linotype" w:hAnsi="Palatino Linotype" w:cs="Arial"/>
        </w:rPr>
        <w:t>, es que</w:t>
      </w:r>
      <w:r w:rsidR="000B1AD6">
        <w:rPr>
          <w:rFonts w:ascii="Palatino Linotype" w:hAnsi="Palatino Linotype" w:cs="Arial"/>
        </w:rPr>
        <w:t xml:space="preserve"> cualquier persona tiene el derecho al acceso de la información pública, información que consiste en aquella </w:t>
      </w:r>
      <w:r w:rsidR="000B1AD6" w:rsidRPr="000534DD">
        <w:rPr>
          <w:rFonts w:ascii="Palatino Linotype" w:hAnsi="Palatino Linotype" w:cs="Arial"/>
        </w:rPr>
        <w:t>que sea generada, obtenida, adquirida, transformada, administrada o en posesión de los Sujetos Obligados,</w:t>
      </w:r>
      <w:r w:rsidR="000B1AD6">
        <w:rPr>
          <w:rFonts w:ascii="Palatino Linotype" w:hAnsi="Palatino Linotype" w:cs="Arial"/>
        </w:rPr>
        <w:t xml:space="preserve"> como así también lo señala la </w:t>
      </w:r>
      <w:r w:rsidR="000B1AD6" w:rsidRPr="000534DD">
        <w:rPr>
          <w:rFonts w:ascii="Palatino Linotype" w:hAnsi="Palatino Linotype" w:cs="Arial"/>
        </w:rPr>
        <w:t>Ley</w:t>
      </w:r>
      <w:r w:rsidR="000B1AD6">
        <w:rPr>
          <w:rFonts w:ascii="Palatino Linotype" w:hAnsi="Palatino Linotype" w:cs="Arial"/>
        </w:rPr>
        <w:t xml:space="preserve"> </w:t>
      </w:r>
      <w:r w:rsidR="000B1AD6" w:rsidRPr="00B6113B">
        <w:rPr>
          <w:rFonts w:ascii="Palatino Linotype" w:hAnsi="Palatino Linotype" w:cs="Arial"/>
        </w:rPr>
        <w:t>de Transparencia y Acceso a la Información Pública del Estado de México y Municipios</w:t>
      </w:r>
      <w:r w:rsidR="000B1AD6">
        <w:rPr>
          <w:rFonts w:ascii="Palatino Linotype" w:hAnsi="Palatino Linotype" w:cs="Arial"/>
        </w:rPr>
        <w:t xml:space="preserve"> en su artículo 4, que toda la información </w:t>
      </w:r>
      <w:r w:rsidR="000B1AD6" w:rsidRPr="004B2697">
        <w:rPr>
          <w:rFonts w:ascii="Palatino Linotype" w:hAnsi="Palatino Linotype" w:cs="Arial"/>
        </w:rPr>
        <w:t>generada, obtenida, adquirida, transformada, administrada o en posesión de los sujetos obligados</w:t>
      </w:r>
      <w:r w:rsidR="00257766">
        <w:rPr>
          <w:rFonts w:ascii="Palatino Linotype" w:hAnsi="Palatino Linotype" w:cs="Arial"/>
        </w:rPr>
        <w:t>,</w:t>
      </w:r>
      <w:r w:rsidR="000B1AD6" w:rsidRPr="004B2697">
        <w:rPr>
          <w:rFonts w:ascii="Palatino Linotype" w:hAnsi="Palatino Linotype" w:cs="Arial"/>
        </w:rPr>
        <w:t xml:space="preserve"> es pública y accesible</w:t>
      </w:r>
      <w:r w:rsidR="00257766">
        <w:rPr>
          <w:rFonts w:ascii="Palatino Linotype" w:hAnsi="Palatino Linotype" w:cs="Arial"/>
        </w:rPr>
        <w:t>,</w:t>
      </w:r>
      <w:r w:rsidR="000B1AD6" w:rsidRPr="004B2697">
        <w:rPr>
          <w:rFonts w:ascii="Palatino Linotype" w:hAnsi="Palatino Linotype" w:cs="Arial"/>
        </w:rPr>
        <w:t xml:space="preserve"> de manera permanente a cualquier persona</w:t>
      </w:r>
      <w:r w:rsidR="000B1AD6" w:rsidRPr="000534DD">
        <w:rPr>
          <w:rFonts w:ascii="Palatino Linotype" w:hAnsi="Palatino Linotype" w:cs="Arial"/>
        </w:rPr>
        <w:t xml:space="preserve">, privilegiando el principio de máxima publicidad, como </w:t>
      </w:r>
      <w:r w:rsidR="000B1AD6">
        <w:rPr>
          <w:rFonts w:ascii="Palatino Linotype" w:hAnsi="Palatino Linotype" w:cs="Arial"/>
        </w:rPr>
        <w:t xml:space="preserve">así lo </w:t>
      </w:r>
      <w:r w:rsidR="000B1AD6">
        <w:rPr>
          <w:rFonts w:ascii="Palatino Linotype" w:hAnsi="Palatino Linotype" w:cs="Arial"/>
        </w:rPr>
        <w:lastRenderedPageBreak/>
        <w:t>establece dicha determinación, que a continuación se trascribe para un mejor entendimiento:</w:t>
      </w:r>
    </w:p>
    <w:p w14:paraId="610F8A50" w14:textId="77777777" w:rsidR="000B1AD6" w:rsidRDefault="000B1AD6" w:rsidP="000B1AD6">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39F827" w14:textId="77777777" w:rsidR="000B1AD6" w:rsidRPr="00903A6F" w:rsidRDefault="000B1AD6" w:rsidP="000B1AD6">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F1C8E2" w14:textId="77777777" w:rsidR="000B1AD6" w:rsidRDefault="000B1AD6" w:rsidP="000B1AD6">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14:paraId="44B46257" w14:textId="77777777" w:rsidR="000B1AD6" w:rsidRDefault="000B1AD6" w:rsidP="000B1AD6">
      <w:pPr>
        <w:spacing w:before="240" w:after="240" w:line="360" w:lineRule="auto"/>
        <w:jc w:val="both"/>
        <w:rPr>
          <w:rFonts w:ascii="Palatino Linotype" w:hAnsi="Palatino Linotype" w:cs="Arial"/>
          <w:i/>
          <w:sz w:val="22"/>
          <w:szCs w:val="22"/>
        </w:rPr>
      </w:pPr>
    </w:p>
    <w:p w14:paraId="572D6E15" w14:textId="35D5B1D8"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De lo</w:t>
      </w:r>
      <w:r w:rsidR="00985DC0">
        <w:rPr>
          <w:rFonts w:ascii="Palatino Linotype" w:hAnsi="Palatino Linotype" w:cs="Arial"/>
        </w:rPr>
        <w:t xml:space="preserve"> ant</w:t>
      </w:r>
      <w:r w:rsidR="00A25B2C">
        <w:rPr>
          <w:rFonts w:ascii="Palatino Linotype" w:hAnsi="Palatino Linotype" w:cs="Arial"/>
        </w:rPr>
        <w:t>erior</w:t>
      </w:r>
      <w:r>
        <w:rPr>
          <w:rFonts w:ascii="Palatino Linotype" w:hAnsi="Palatino Linotype" w:cs="Arial"/>
        </w:rPr>
        <w:t xml:space="preserv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14:paraId="04E50A9A" w14:textId="77777777" w:rsidR="000B1AD6" w:rsidRDefault="000B1AD6" w:rsidP="000B1AD6">
      <w:pPr>
        <w:spacing w:before="240" w:after="240"/>
        <w:ind w:left="567" w:right="758"/>
        <w:contextualSpacing/>
        <w:jc w:val="both"/>
        <w:rPr>
          <w:rFonts w:ascii="Palatino Linotype" w:hAnsi="Palatino Linotype" w:cs="Arial"/>
          <w:i/>
          <w:sz w:val="22"/>
          <w:szCs w:val="22"/>
        </w:rPr>
      </w:pP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61D469CB" w14:textId="77777777" w:rsidR="000B1AD6" w:rsidRDefault="000B1AD6" w:rsidP="000B1AD6">
      <w:pPr>
        <w:spacing w:before="240" w:after="240"/>
        <w:ind w:left="567" w:right="758"/>
        <w:contextualSpacing/>
        <w:jc w:val="both"/>
        <w:rPr>
          <w:rFonts w:ascii="Palatino Linotype" w:hAnsi="Palatino Linotype" w:cs="Arial"/>
          <w:i/>
          <w:sz w:val="22"/>
          <w:szCs w:val="22"/>
        </w:rPr>
      </w:pPr>
    </w:p>
    <w:p w14:paraId="2CEB8543" w14:textId="77777777" w:rsidR="000B1AD6" w:rsidRPr="00B11B43" w:rsidRDefault="000B1AD6" w:rsidP="000B1AD6">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B11B43">
        <w:rPr>
          <w:rFonts w:ascii="Palatino Linotype" w:hAnsi="Palatino Linotype" w:cs="Arial"/>
          <w:i/>
          <w:sz w:val="22"/>
          <w:szCs w:val="22"/>
        </w:rPr>
        <w:lastRenderedPageBreak/>
        <w:t>presentarla conforme al interés del solicitante; no estarán obligados a generarla, resumirla, efectuar cálculos o practicar investigaciones.</w:t>
      </w:r>
    </w:p>
    <w:p w14:paraId="6264201F" w14:textId="77777777" w:rsidR="000B1AD6" w:rsidRDefault="000B1AD6" w:rsidP="000B1AD6">
      <w:pPr>
        <w:spacing w:line="360" w:lineRule="auto"/>
        <w:jc w:val="both"/>
        <w:rPr>
          <w:rFonts w:ascii="Palatino Linotype" w:hAnsi="Palatino Linotype" w:cs="Arial"/>
        </w:rPr>
      </w:pPr>
    </w:p>
    <w:p w14:paraId="36313BB9" w14:textId="73763276" w:rsidR="000B1AD6" w:rsidRPr="009E12B6" w:rsidRDefault="00AF1BDB" w:rsidP="000B1AD6">
      <w:pPr>
        <w:spacing w:line="360" w:lineRule="auto"/>
        <w:jc w:val="both"/>
        <w:rPr>
          <w:rFonts w:ascii="Palatino Linotype" w:hAnsi="Palatino Linotype" w:cs="Arial"/>
          <w:color w:val="000000"/>
        </w:rPr>
      </w:pPr>
      <w:r>
        <w:rPr>
          <w:rFonts w:ascii="Palatino Linotype" w:hAnsi="Palatino Linotype" w:cs="Arial"/>
          <w:color w:val="000000"/>
        </w:rPr>
        <w:t>Es decir,</w:t>
      </w:r>
      <w:r w:rsidR="000B1AD6">
        <w:rPr>
          <w:rFonts w:ascii="Palatino Linotype" w:hAnsi="Palatino Linotype" w:cs="Arial"/>
          <w:color w:val="000000"/>
        </w:rPr>
        <w:t xml:space="preserve"> que</w:t>
      </w:r>
      <w:r w:rsidR="000B1AD6" w:rsidRPr="009E12B6">
        <w:rPr>
          <w:rFonts w:ascii="Palatino Linotype" w:hAnsi="Palatino Linotype" w:cs="Arial"/>
          <w:color w:val="000000"/>
        </w:rPr>
        <w:t xml:space="preserve"> el derecho de acceso a la información pública se satisface en aquellos casos en que</w:t>
      </w:r>
      <w:r w:rsidR="000B1AD6">
        <w:rPr>
          <w:rFonts w:ascii="Palatino Linotype" w:hAnsi="Palatino Linotype" w:cs="Arial"/>
          <w:color w:val="000000"/>
        </w:rPr>
        <w:t xml:space="preserve"> se entregue documento</w:t>
      </w:r>
      <w:r w:rsidR="000B1AD6" w:rsidRPr="009E12B6">
        <w:rPr>
          <w:rFonts w:ascii="Palatino Linotype" w:hAnsi="Palatino Linotype" w:cs="Arial"/>
          <w:color w:val="000000"/>
        </w:rPr>
        <w:t xml:space="preserve"> en q</w:t>
      </w:r>
      <w:r w:rsidR="00257766">
        <w:rPr>
          <w:rFonts w:ascii="Palatino Linotype" w:hAnsi="Palatino Linotype" w:cs="Arial"/>
          <w:color w:val="000000"/>
        </w:rPr>
        <w:t>ue conste la información requerida</w:t>
      </w:r>
      <w:r w:rsidR="000B1AD6" w:rsidRPr="009E12B6">
        <w:rPr>
          <w:rFonts w:ascii="Palatino Linotype" w:hAnsi="Palatino Linotype" w:cs="Arial"/>
          <w:color w:val="000000"/>
        </w:rPr>
        <w:t>, toda vez que, los Sujetos Obligados</w:t>
      </w:r>
      <w:r w:rsidR="000B1AD6" w:rsidRPr="009E12B6">
        <w:rPr>
          <w:rFonts w:ascii="Palatino Linotype" w:hAnsi="Palatino Linotype" w:cs="Arial"/>
          <w:b/>
          <w:color w:val="000000"/>
        </w:rPr>
        <w:t xml:space="preserve"> </w:t>
      </w:r>
      <w:r w:rsidR="000B1AD6"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000B1AD6" w:rsidRPr="009E12B6">
        <w:rPr>
          <w:rFonts w:ascii="Palatino Linotype" w:hAnsi="Palatino Linotype" w:cs="Arial"/>
          <w:i/>
          <w:color w:val="000000"/>
        </w:rPr>
        <w:t>ad hoc</w:t>
      </w:r>
      <w:r w:rsidR="000B1AD6" w:rsidRPr="009E12B6">
        <w:rPr>
          <w:rFonts w:ascii="Palatino Linotype" w:hAnsi="Palatino Linotype" w:cs="Arial"/>
          <w:color w:val="000000"/>
        </w:rPr>
        <w:t>, para satisfacer el derecho de acceso a la información pública.</w:t>
      </w:r>
    </w:p>
    <w:p w14:paraId="19CD08B8" w14:textId="0FBAF9A3" w:rsidR="000B1AD6" w:rsidRPr="009E12B6" w:rsidRDefault="00E50442" w:rsidP="000B1AD6">
      <w:pPr>
        <w:jc w:val="both"/>
        <w:rPr>
          <w:rFonts w:ascii="Palatino Linotype" w:hAnsi="Palatino Linotype" w:cs="Arial"/>
          <w:color w:val="000000"/>
        </w:rPr>
      </w:pPr>
      <w:r>
        <w:rPr>
          <w:rFonts w:ascii="Palatino Linotype" w:hAnsi="Palatino Linotype" w:cs="Arial"/>
          <w:color w:val="000000"/>
        </w:rPr>
        <w:t xml:space="preserve"> </w:t>
      </w:r>
    </w:p>
    <w:p w14:paraId="69D42C85" w14:textId="2D5DE505" w:rsidR="000B1AD6" w:rsidRDefault="00D040EA" w:rsidP="000B1AD6">
      <w:pPr>
        <w:spacing w:line="360" w:lineRule="auto"/>
        <w:jc w:val="both"/>
        <w:rPr>
          <w:rFonts w:ascii="Palatino Linotype" w:hAnsi="Palatino Linotype" w:cs="Arial"/>
          <w:color w:val="000000" w:themeColor="text1"/>
        </w:rPr>
      </w:pPr>
      <w:r>
        <w:rPr>
          <w:rFonts w:ascii="Palatino Linotype" w:hAnsi="Palatino Linotype" w:cs="Arial"/>
        </w:rPr>
        <w:t>A</w:t>
      </w:r>
      <w:r w:rsidR="000B1AD6" w:rsidRPr="004975CB">
        <w:rPr>
          <w:rFonts w:ascii="Palatino Linotype" w:hAnsi="Palatino Linotype" w:cs="Arial"/>
        </w:rPr>
        <w:t>unado a lo ante</w:t>
      </w:r>
      <w:r>
        <w:rPr>
          <w:rFonts w:ascii="Palatino Linotype" w:hAnsi="Palatino Linotype" w:cs="Arial"/>
        </w:rPr>
        <w:t>rior</w:t>
      </w:r>
      <w:r w:rsidR="000B1AD6" w:rsidRPr="004975CB">
        <w:rPr>
          <w:rFonts w:ascii="Palatino Linotype" w:hAnsi="Palatino Linotype" w:cs="Arial"/>
        </w:rPr>
        <w:t xml:space="preserve"> el artículo 24 de la Ley de la materia, dispone que los Sujetos Obligados </w:t>
      </w:r>
      <w:r w:rsidR="000B1AD6" w:rsidRPr="009E12B6">
        <w:rPr>
          <w:rFonts w:ascii="Palatino Linotype" w:hAnsi="Palatino Linotype" w:cs="Arial"/>
          <w:color w:val="000000" w:themeColor="text1"/>
        </w:rPr>
        <w:t xml:space="preserve">sólo proporcionarán la información pública que </w:t>
      </w:r>
      <w:r w:rsidR="000B1AD6" w:rsidRPr="009E12B6">
        <w:rPr>
          <w:rFonts w:ascii="Palatino Linotype" w:hAnsi="Palatino Linotype" w:cs="Arial"/>
        </w:rPr>
        <w:t>generen</w:t>
      </w:r>
      <w:r w:rsidR="000B1AD6"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sidR="000B1AD6">
        <w:rPr>
          <w:rFonts w:ascii="Palatino Linotype" w:hAnsi="Palatino Linotype" w:cs="Arial"/>
          <w:color w:val="000000" w:themeColor="text1"/>
        </w:rPr>
        <w:t>jetos Obligados, garantizar el Derecho de Acceso a la Información P</w:t>
      </w:r>
      <w:r w:rsidR="000B1AD6" w:rsidRPr="009E12B6">
        <w:rPr>
          <w:rFonts w:ascii="Palatino Linotype" w:hAnsi="Palatino Linotype" w:cs="Arial"/>
          <w:color w:val="000000" w:themeColor="text1"/>
        </w:rPr>
        <w:t>ública.</w:t>
      </w:r>
    </w:p>
    <w:p w14:paraId="24C8B85E" w14:textId="77777777" w:rsidR="0091273B" w:rsidRDefault="0091273B" w:rsidP="000B1AD6">
      <w:pPr>
        <w:spacing w:line="360" w:lineRule="auto"/>
        <w:jc w:val="both"/>
        <w:rPr>
          <w:rFonts w:ascii="Palatino Linotype" w:hAnsi="Palatino Linotype" w:cs="Arial"/>
          <w:color w:val="000000" w:themeColor="text1"/>
        </w:rPr>
      </w:pPr>
    </w:p>
    <w:p w14:paraId="663387E1" w14:textId="77777777" w:rsidR="000B1AD6" w:rsidRDefault="000B1AD6" w:rsidP="000B1AD6">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61F0AE55" w14:textId="77777777" w:rsidR="000B1AD6" w:rsidRPr="009E12B6" w:rsidRDefault="000B1AD6" w:rsidP="000B1AD6">
      <w:pPr>
        <w:jc w:val="both"/>
        <w:rPr>
          <w:rFonts w:ascii="Palatino Linotype" w:hAnsi="Palatino Linotype" w:cs="Arial"/>
          <w:color w:val="000000" w:themeColor="text1"/>
        </w:rPr>
      </w:pPr>
    </w:p>
    <w:p w14:paraId="695CECC9" w14:textId="08EEEF8F" w:rsidR="000B1AD6" w:rsidRPr="004975CB" w:rsidRDefault="000B1AD6" w:rsidP="000B1AD6">
      <w:pPr>
        <w:spacing w:line="360" w:lineRule="auto"/>
        <w:jc w:val="both"/>
        <w:rPr>
          <w:rFonts w:ascii="Palatino Linotype" w:hAnsi="Palatino Linotype" w:cs="Arial"/>
        </w:rPr>
      </w:pPr>
      <w:r w:rsidRPr="004975CB">
        <w:rPr>
          <w:rFonts w:ascii="Palatino Linotype" w:hAnsi="Palatino Linotype" w:cs="Arial"/>
        </w:rPr>
        <w:t>En conclusión</w:t>
      </w:r>
      <w:r w:rsidR="00AF1BDB">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w:t>
      </w:r>
      <w:r w:rsidRPr="004975CB">
        <w:rPr>
          <w:rFonts w:ascii="Palatino Linotype" w:hAnsi="Palatino Linotype" w:cs="Arial"/>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CF4C92A" w14:textId="77777777" w:rsidR="000B1AD6" w:rsidRPr="004975CB" w:rsidRDefault="000B1AD6" w:rsidP="000B1AD6">
      <w:pPr>
        <w:ind w:left="851" w:right="899"/>
        <w:jc w:val="both"/>
        <w:rPr>
          <w:rFonts w:ascii="Palatino Linotype" w:hAnsi="Palatino Linotype" w:cs="Arial"/>
          <w:i/>
          <w:sz w:val="22"/>
          <w:szCs w:val="22"/>
        </w:rPr>
      </w:pPr>
    </w:p>
    <w:p w14:paraId="45D62A8C"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442B11FA"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435D8AD9"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A4774D"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14:paraId="1E81C853" w14:textId="77777777" w:rsidR="000B1AD6" w:rsidRPr="009E12B6" w:rsidRDefault="000B1AD6" w:rsidP="000B1AD6">
      <w:pPr>
        <w:ind w:left="851" w:right="899"/>
        <w:jc w:val="both"/>
        <w:rPr>
          <w:rFonts w:ascii="Palatino Linotype" w:hAnsi="Palatino Linotype" w:cs="Arial"/>
          <w:sz w:val="22"/>
          <w:szCs w:val="22"/>
        </w:rPr>
      </w:pPr>
    </w:p>
    <w:p w14:paraId="73EEDBA9" w14:textId="77777777" w:rsidR="000B1AD6" w:rsidRPr="009E12B6" w:rsidRDefault="000B1AD6" w:rsidP="000B1AD6">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D6DD57C" w14:textId="77777777" w:rsidR="000B1AD6" w:rsidRPr="009E12B6" w:rsidRDefault="000B1AD6" w:rsidP="000B1AD6">
      <w:pPr>
        <w:ind w:left="851" w:right="899"/>
        <w:jc w:val="both"/>
        <w:rPr>
          <w:rFonts w:ascii="Palatino Linotype" w:hAnsi="Palatino Linotype" w:cs="Arial"/>
        </w:rPr>
      </w:pPr>
    </w:p>
    <w:p w14:paraId="69A3CFE2" w14:textId="77777777" w:rsidR="000B1AD6" w:rsidRPr="004B675A"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14:paraId="4C6B0923" w14:textId="77777777" w:rsidR="000B1AD6" w:rsidRPr="009E12B6" w:rsidRDefault="000B1AD6" w:rsidP="000B1AD6">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w:t>
      </w:r>
      <w:r w:rsidRPr="009E12B6">
        <w:rPr>
          <w:rFonts w:ascii="Palatino Linotype" w:hAnsi="Palatino Linotype" w:cs="Arial"/>
          <w:i/>
          <w:sz w:val="22"/>
          <w:szCs w:val="22"/>
          <w:lang w:eastAsia="es-MX"/>
        </w:rPr>
        <w:lastRenderedPageBreak/>
        <w:t>órganos u organismos públicos, en virtud del ejercicio de sus funciones de derecho público, sin importar su fuente, soporte o fecha de elaboración.</w:t>
      </w:r>
    </w:p>
    <w:p w14:paraId="414A5D1B"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14:paraId="5CE2A308" w14:textId="77777777" w:rsidR="000B1AD6" w:rsidRPr="009E12B6"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7D955C05"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65F81E28"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14:paraId="7AA9C58F" w14:textId="77777777" w:rsidR="000B1AD6" w:rsidRDefault="000B1AD6" w:rsidP="000B1AD6">
      <w:pPr>
        <w:spacing w:before="240" w:after="240" w:line="360" w:lineRule="auto"/>
        <w:ind w:right="49"/>
        <w:contextualSpacing/>
        <w:jc w:val="both"/>
        <w:rPr>
          <w:rFonts w:ascii="Palatino Linotype" w:hAnsi="Palatino Linotype" w:cs="Arial"/>
        </w:rPr>
      </w:pPr>
    </w:p>
    <w:p w14:paraId="5E0D07C4" w14:textId="1AF8D0DE" w:rsidR="000B1AD6" w:rsidRPr="002A5D25" w:rsidRDefault="00FD38B8" w:rsidP="000B1AD6">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t>Por otro lado,</w:t>
      </w:r>
      <w:r w:rsidR="000B1AD6">
        <w:rPr>
          <w:rFonts w:ascii="Palatino Linotype" w:eastAsia="Calibri" w:hAnsi="Palatino Linotype" w:cs="Arial"/>
          <w:lang w:val="es-MX" w:eastAsia="en-US"/>
        </w:rPr>
        <w:t xml:space="preserve"> antes de entrar al estudio de fondo, </w:t>
      </w:r>
      <w:r>
        <w:rPr>
          <w:rFonts w:ascii="Palatino Linotype" w:eastAsia="Calibri" w:hAnsi="Palatino Linotype" w:cs="Arial"/>
          <w:lang w:val="es-MX" w:eastAsia="en-US"/>
        </w:rPr>
        <w:t xml:space="preserve">es importante </w:t>
      </w:r>
      <w:r w:rsidR="000B1AD6">
        <w:rPr>
          <w:rFonts w:ascii="Palatino Linotype" w:hAnsi="Palatino Linotype" w:cs="Arial"/>
        </w:rPr>
        <w:t>establecer de acuerdo a sus atribuciones, fun</w:t>
      </w:r>
      <w:r w:rsidR="00366153">
        <w:rPr>
          <w:rFonts w:ascii="Palatino Linotype" w:hAnsi="Palatino Linotype" w:cs="Arial"/>
        </w:rPr>
        <w:t xml:space="preserve">ciones o facultades, que área, unidad </w:t>
      </w:r>
      <w:r w:rsidR="000B1AD6">
        <w:rPr>
          <w:rFonts w:ascii="Palatino Linotype" w:hAnsi="Palatino Linotype" w:cs="Arial"/>
        </w:rPr>
        <w:t xml:space="preserve">o dependencia del Sujeto Obligado pudiera tener la información solicitada por el recurrente y así poder ordenar la entrega de la información; lo que conlleva a analizar en primer lugar </w:t>
      </w:r>
      <w:r w:rsidR="000B1AD6" w:rsidRPr="00B0036A">
        <w:rPr>
          <w:rFonts w:ascii="Palatino Linotype" w:hAnsi="Palatino Linotype" w:cs="Arial"/>
        </w:rPr>
        <w:t xml:space="preserve">el </w:t>
      </w:r>
      <w:r w:rsidR="003A7D23" w:rsidRPr="00B0036A">
        <w:rPr>
          <w:rFonts w:ascii="Palatino Linotype" w:hAnsi="Palatino Linotype" w:cs="Arial"/>
        </w:rPr>
        <w:t xml:space="preserve">artículo </w:t>
      </w:r>
      <w:r w:rsidR="003923E8">
        <w:rPr>
          <w:rFonts w:ascii="Palatino Linotype" w:hAnsi="Palatino Linotype" w:cs="Arial"/>
        </w:rPr>
        <w:t>66, 68, 69 y 70</w:t>
      </w:r>
      <w:r w:rsidR="00D61F2D">
        <w:rPr>
          <w:rFonts w:ascii="Palatino Linotype" w:hAnsi="Palatino Linotype" w:cs="Arial"/>
        </w:rPr>
        <w:t xml:space="preserve"> </w:t>
      </w:r>
      <w:r w:rsidRPr="002A5D25">
        <w:rPr>
          <w:rFonts w:ascii="Palatino Linotype" w:hAnsi="Palatino Linotype" w:cs="Arial"/>
        </w:rPr>
        <w:t xml:space="preserve">del </w:t>
      </w:r>
      <w:r w:rsidR="000B1AD6" w:rsidRPr="002A5D25">
        <w:rPr>
          <w:rFonts w:ascii="Palatino Linotype" w:hAnsi="Palatino Linotype" w:cs="Arial"/>
        </w:rPr>
        <w:t xml:space="preserve">Bando Municipal </w:t>
      </w:r>
      <w:r w:rsidR="004368E3" w:rsidRPr="002A5D25">
        <w:rPr>
          <w:rFonts w:ascii="Palatino Linotype" w:hAnsi="Palatino Linotype" w:cs="Arial"/>
        </w:rPr>
        <w:t>del</w:t>
      </w:r>
      <w:r w:rsidR="000B1AD6" w:rsidRPr="002A5D25">
        <w:rPr>
          <w:rFonts w:ascii="Palatino Linotype" w:hAnsi="Palatino Linotype" w:cs="Arial"/>
        </w:rPr>
        <w:t xml:space="preserve"> Ayuntamiento de </w:t>
      </w:r>
      <w:proofErr w:type="spellStart"/>
      <w:r w:rsidR="003923E8" w:rsidRPr="002A5D25">
        <w:rPr>
          <w:rFonts w:ascii="Palatino Linotype" w:hAnsi="Palatino Linotype" w:cs="Arial"/>
        </w:rPr>
        <w:t>Nopaltepec</w:t>
      </w:r>
      <w:proofErr w:type="spellEnd"/>
      <w:r w:rsidR="003923E8" w:rsidRPr="002A5D25">
        <w:rPr>
          <w:rFonts w:ascii="Palatino Linotype" w:hAnsi="Palatino Linotype" w:cs="Arial"/>
        </w:rPr>
        <w:t xml:space="preserve"> </w:t>
      </w:r>
      <w:r w:rsidR="003A7D23" w:rsidRPr="002A5D25">
        <w:rPr>
          <w:rFonts w:ascii="Palatino Linotype" w:hAnsi="Palatino Linotype" w:cs="Arial"/>
        </w:rPr>
        <w:t>del año 2018</w:t>
      </w:r>
      <w:r w:rsidR="00CA4BED" w:rsidRPr="002A5D25">
        <w:rPr>
          <w:rFonts w:ascii="Palatino Linotype" w:hAnsi="Palatino Linotype" w:cs="Arial"/>
        </w:rPr>
        <w:t xml:space="preserve"> y 95, fracciones XIV, </w:t>
      </w:r>
      <w:r w:rsidR="000C288A" w:rsidRPr="002A5D25">
        <w:rPr>
          <w:rFonts w:ascii="Palatino Linotype" w:hAnsi="Palatino Linotype" w:cs="Arial"/>
        </w:rPr>
        <w:t xml:space="preserve">XVI, </w:t>
      </w:r>
      <w:r w:rsidR="00CA4BED" w:rsidRPr="002A5D25">
        <w:rPr>
          <w:rFonts w:ascii="Palatino Linotype" w:hAnsi="Palatino Linotype" w:cs="Arial"/>
        </w:rPr>
        <w:t>XVII, XVIII y XXI</w:t>
      </w:r>
      <w:r w:rsidR="001E3C0F" w:rsidRPr="002A5D25">
        <w:rPr>
          <w:rFonts w:ascii="Palatino Linotype" w:hAnsi="Palatino Linotype" w:cs="Arial"/>
        </w:rPr>
        <w:t xml:space="preserve"> de la Ley Orgánica Municipal del Estado de México</w:t>
      </w:r>
      <w:r w:rsidR="00366153" w:rsidRPr="002A5D25">
        <w:rPr>
          <w:rFonts w:ascii="Palatino Linotype" w:hAnsi="Palatino Linotype" w:cs="Arial"/>
        </w:rPr>
        <w:t xml:space="preserve">, </w:t>
      </w:r>
      <w:r w:rsidRPr="002A5D25">
        <w:rPr>
          <w:rFonts w:ascii="Palatino Linotype" w:hAnsi="Palatino Linotype" w:cs="Arial"/>
        </w:rPr>
        <w:t>que establece</w:t>
      </w:r>
      <w:r w:rsidR="003A7D23" w:rsidRPr="002A5D25">
        <w:rPr>
          <w:rFonts w:ascii="Palatino Linotype" w:hAnsi="Palatino Linotype" w:cs="Arial"/>
        </w:rPr>
        <w:t>n</w:t>
      </w:r>
      <w:r w:rsidR="000B1AD6" w:rsidRPr="002A5D25">
        <w:rPr>
          <w:rFonts w:ascii="Palatino Linotype" w:hAnsi="Palatino Linotype" w:cs="Arial"/>
        </w:rPr>
        <w:t>:</w:t>
      </w:r>
    </w:p>
    <w:p w14:paraId="50E262EC" w14:textId="77777777" w:rsidR="000C288A" w:rsidRPr="002A5D25" w:rsidRDefault="000C288A" w:rsidP="00366153">
      <w:pPr>
        <w:ind w:left="851" w:right="899"/>
        <w:jc w:val="both"/>
        <w:rPr>
          <w:rFonts w:ascii="Palatino Linotype" w:hAnsi="Palatino Linotype" w:cs="Arial"/>
          <w:i/>
          <w:sz w:val="22"/>
          <w:szCs w:val="22"/>
          <w:lang w:eastAsia="es-MX"/>
        </w:rPr>
      </w:pPr>
    </w:p>
    <w:p w14:paraId="3EC757E9" w14:textId="1BE8721D" w:rsidR="003923E8" w:rsidRPr="002A5D25" w:rsidRDefault="00366153" w:rsidP="003923E8">
      <w:pPr>
        <w:ind w:left="851" w:right="899"/>
        <w:jc w:val="both"/>
        <w:rPr>
          <w:rFonts w:ascii="Palatino Linotype" w:hAnsi="Palatino Linotype" w:cs="Arial"/>
          <w:i/>
          <w:sz w:val="22"/>
          <w:szCs w:val="22"/>
          <w:lang w:eastAsia="es-MX"/>
        </w:rPr>
      </w:pPr>
      <w:r w:rsidRPr="002A5D25">
        <w:rPr>
          <w:rFonts w:ascii="Palatino Linotype" w:hAnsi="Palatino Linotype" w:cs="Arial"/>
          <w:b/>
          <w:i/>
          <w:sz w:val="22"/>
          <w:szCs w:val="22"/>
          <w:lang w:eastAsia="es-MX"/>
        </w:rPr>
        <w:t>“</w:t>
      </w:r>
      <w:r w:rsidR="003923E8" w:rsidRPr="002A5D25">
        <w:rPr>
          <w:rFonts w:ascii="Palatino Linotype" w:hAnsi="Palatino Linotype" w:cs="Arial"/>
          <w:b/>
          <w:i/>
          <w:sz w:val="22"/>
          <w:szCs w:val="22"/>
          <w:lang w:eastAsia="es-MX"/>
        </w:rPr>
        <w:t>Artículo 66.</w:t>
      </w:r>
      <w:r w:rsidR="003923E8" w:rsidRPr="002A5D25">
        <w:rPr>
          <w:rFonts w:ascii="Palatino Linotype" w:hAnsi="Palatino Linotype" w:cs="Arial"/>
          <w:i/>
          <w:sz w:val="22"/>
          <w:szCs w:val="22"/>
          <w:lang w:eastAsia="es-MX"/>
        </w:rPr>
        <w:t xml:space="preserve"> La Tesorería Municipal es la unidad administrativa encargada de la recaudación de los ingresos municipales, así como dela administración de la hacienda pública municipal, y la dependencia</w:t>
      </w:r>
      <w:r w:rsidR="002A5D25" w:rsidRPr="002A5D25">
        <w:rPr>
          <w:rFonts w:ascii="Palatino Linotype" w:hAnsi="Palatino Linotype" w:cs="Arial"/>
          <w:i/>
          <w:sz w:val="22"/>
          <w:szCs w:val="22"/>
          <w:lang w:eastAsia="es-MX"/>
        </w:rPr>
        <w:t xml:space="preserve"> </w:t>
      </w:r>
      <w:r w:rsidR="003923E8" w:rsidRPr="002A5D25">
        <w:rPr>
          <w:rFonts w:ascii="Palatino Linotype" w:hAnsi="Palatino Linotype" w:cs="Arial"/>
          <w:i/>
          <w:sz w:val="22"/>
          <w:szCs w:val="22"/>
          <w:lang w:eastAsia="es-MX"/>
        </w:rPr>
        <w:t>responsable de realizar las erogaciones que haga el Gobierno del Municipio de conformidad con los ordenamientos legales aplicables.</w:t>
      </w:r>
    </w:p>
    <w:p w14:paraId="728C1B7D" w14:textId="77777777" w:rsidR="003923E8" w:rsidRPr="002A5D25" w:rsidRDefault="003923E8" w:rsidP="000C288A">
      <w:pPr>
        <w:ind w:left="851" w:right="899"/>
        <w:jc w:val="both"/>
        <w:rPr>
          <w:rFonts w:ascii="Palatino Linotype" w:hAnsi="Palatino Linotype" w:cs="Arial"/>
          <w:i/>
          <w:sz w:val="22"/>
          <w:szCs w:val="22"/>
          <w:highlight w:val="yellow"/>
          <w:lang w:eastAsia="es-MX"/>
        </w:rPr>
      </w:pPr>
    </w:p>
    <w:p w14:paraId="0DC346DB" w14:textId="32D47710" w:rsidR="002A5D25" w:rsidRPr="002A5D25" w:rsidRDefault="002A5D25" w:rsidP="002A5D25">
      <w:pPr>
        <w:ind w:left="851" w:right="899"/>
        <w:jc w:val="both"/>
        <w:rPr>
          <w:rFonts w:ascii="Palatino Linotype" w:hAnsi="Palatino Linotype"/>
          <w:i/>
          <w:sz w:val="22"/>
          <w:szCs w:val="22"/>
        </w:rPr>
      </w:pPr>
      <w:r w:rsidRPr="002A5D25">
        <w:rPr>
          <w:rFonts w:ascii="Palatino Linotype" w:hAnsi="Palatino Linotype"/>
          <w:b/>
          <w:i/>
          <w:sz w:val="22"/>
          <w:szCs w:val="22"/>
        </w:rPr>
        <w:t>Artículo 68.</w:t>
      </w:r>
      <w:r w:rsidRPr="002A5D25">
        <w:rPr>
          <w:rFonts w:ascii="Palatino Linotype" w:hAnsi="Palatino Linotype"/>
          <w:i/>
          <w:sz w:val="22"/>
          <w:szCs w:val="22"/>
        </w:rPr>
        <w:t xml:space="preserve"> La Tesorería Municipal a través de la Jefatura de Departamento de Recursos Humanos será la dependencia responsable de administrar los recursos humanos, materiales, tecnológicos, y de servicios de las diversas unidades administrativas que conforman la administración pública municipal y asignará a éstas, previa autorización del Presidente Municipal, el personal capacitado que requieran para el cumplimiento de sus atribuciones, llevando el registro del mismo y, en coordinación con la Tesorería Municipal</w:t>
      </w:r>
      <w:r w:rsidRPr="00D040EA">
        <w:rPr>
          <w:rFonts w:ascii="Palatino Linotype" w:hAnsi="Palatino Linotype"/>
          <w:b/>
          <w:i/>
          <w:sz w:val="22"/>
          <w:szCs w:val="22"/>
        </w:rPr>
        <w:t xml:space="preserve">, efectuará el pago de los </w:t>
      </w:r>
      <w:r w:rsidRPr="00D040EA">
        <w:rPr>
          <w:rFonts w:ascii="Palatino Linotype" w:hAnsi="Palatino Linotype"/>
          <w:b/>
          <w:i/>
          <w:sz w:val="22"/>
          <w:szCs w:val="22"/>
        </w:rPr>
        <w:lastRenderedPageBreak/>
        <w:t>salarios</w:t>
      </w:r>
      <w:r w:rsidRPr="002A5D25">
        <w:rPr>
          <w:rFonts w:ascii="Palatino Linotype" w:hAnsi="Palatino Linotype"/>
          <w:i/>
          <w:sz w:val="22"/>
          <w:szCs w:val="22"/>
        </w:rPr>
        <w:t>, establecerá  programas de capacitación, atenderá las relaciones laborales, y en general, cumplirá con todas las atribuciones que le otorguen las disposiciones legales que regulen sus actividades.</w:t>
      </w:r>
    </w:p>
    <w:p w14:paraId="3F6E7915" w14:textId="77777777" w:rsidR="002A5D25" w:rsidRPr="002A5D25" w:rsidRDefault="002A5D25" w:rsidP="002A5D25">
      <w:pPr>
        <w:ind w:left="851" w:right="899"/>
        <w:jc w:val="both"/>
        <w:rPr>
          <w:rFonts w:ascii="Palatino Linotype" w:hAnsi="Palatino Linotype"/>
          <w:i/>
          <w:sz w:val="22"/>
          <w:szCs w:val="22"/>
        </w:rPr>
      </w:pPr>
    </w:p>
    <w:p w14:paraId="03207E49" w14:textId="77777777" w:rsidR="002A5D25" w:rsidRDefault="002A5D25" w:rsidP="002A5D25">
      <w:pPr>
        <w:ind w:left="851" w:right="899"/>
        <w:jc w:val="both"/>
        <w:rPr>
          <w:rFonts w:ascii="Palatino Linotype" w:hAnsi="Palatino Linotype"/>
          <w:i/>
          <w:sz w:val="22"/>
          <w:szCs w:val="22"/>
        </w:rPr>
      </w:pPr>
      <w:r w:rsidRPr="002A5D25">
        <w:rPr>
          <w:rFonts w:ascii="Palatino Linotype" w:hAnsi="Palatino Linotype"/>
          <w:b/>
          <w:i/>
          <w:sz w:val="22"/>
          <w:szCs w:val="22"/>
        </w:rPr>
        <w:t>Artículo 69.</w:t>
      </w:r>
      <w:r w:rsidRPr="002A5D25">
        <w:rPr>
          <w:rFonts w:ascii="Palatino Linotype" w:hAnsi="Palatino Linotype"/>
          <w:i/>
          <w:sz w:val="22"/>
          <w:szCs w:val="22"/>
        </w:rPr>
        <w:t xml:space="preserve"> Todos los recursos económicos generados por el pago de los impuestos y derechos deberán ser ingresados a la Tesorería Municipal; en caso de incumplimientos serán sancionados en términos de lo dispuesto en la Ley de Responsabilidades de los Servidores Públicos del Estado y Municipios. </w:t>
      </w:r>
    </w:p>
    <w:p w14:paraId="56718EF1" w14:textId="77777777" w:rsidR="00D61F2D" w:rsidRPr="002A5D25" w:rsidRDefault="00D61F2D" w:rsidP="002A5D25">
      <w:pPr>
        <w:ind w:left="851" w:right="899"/>
        <w:jc w:val="both"/>
        <w:rPr>
          <w:rFonts w:ascii="Palatino Linotype" w:hAnsi="Palatino Linotype"/>
          <w:i/>
          <w:sz w:val="22"/>
          <w:szCs w:val="22"/>
        </w:rPr>
      </w:pPr>
    </w:p>
    <w:p w14:paraId="1FABCFD2" w14:textId="77777777" w:rsidR="002A5D25" w:rsidRDefault="002A5D25" w:rsidP="002A5D25">
      <w:pPr>
        <w:ind w:left="851" w:right="899"/>
        <w:jc w:val="both"/>
        <w:rPr>
          <w:rFonts w:ascii="Palatino Linotype" w:hAnsi="Palatino Linotype"/>
          <w:i/>
          <w:sz w:val="22"/>
          <w:szCs w:val="22"/>
        </w:rPr>
      </w:pPr>
      <w:r w:rsidRPr="00D61F2D">
        <w:rPr>
          <w:rFonts w:ascii="Palatino Linotype" w:hAnsi="Palatino Linotype"/>
          <w:b/>
          <w:i/>
          <w:sz w:val="22"/>
          <w:szCs w:val="22"/>
        </w:rPr>
        <w:t>Artículo 70.</w:t>
      </w:r>
      <w:r w:rsidRPr="002A5D25">
        <w:rPr>
          <w:rFonts w:ascii="Palatino Linotype" w:hAnsi="Palatino Linotype"/>
          <w:i/>
          <w:sz w:val="22"/>
          <w:szCs w:val="22"/>
        </w:rPr>
        <w:t xml:space="preserve"> La Tesorería Municipal regirá su estructura y funcionamiento de conformidad con la Ley Orgánica, el Reglamento Orgánico y de los demás ordenamientos legales aplicables.</w:t>
      </w:r>
    </w:p>
    <w:p w14:paraId="0E3A72ED" w14:textId="1D507565" w:rsidR="00F233F5" w:rsidRPr="000C288A" w:rsidRDefault="002A5D25" w:rsidP="002A5D25">
      <w:pPr>
        <w:ind w:left="851" w:right="899"/>
        <w:jc w:val="both"/>
        <w:rPr>
          <w:rFonts w:ascii="Palatino Linotype" w:hAnsi="Palatino Linotype"/>
          <w:i/>
          <w:sz w:val="22"/>
          <w:szCs w:val="22"/>
        </w:rPr>
      </w:pPr>
      <w:r w:rsidRPr="000C288A">
        <w:rPr>
          <w:rFonts w:ascii="Palatino Linotype" w:hAnsi="Palatino Linotype"/>
          <w:i/>
          <w:sz w:val="22"/>
          <w:szCs w:val="22"/>
        </w:rPr>
        <w:t xml:space="preserve"> </w:t>
      </w:r>
    </w:p>
    <w:p w14:paraId="6164EC59" w14:textId="77777777" w:rsidR="00CA4BED" w:rsidRPr="000C288A" w:rsidRDefault="00CA4BED" w:rsidP="000C288A">
      <w:pPr>
        <w:ind w:left="851" w:right="899"/>
        <w:jc w:val="both"/>
        <w:rPr>
          <w:rFonts w:ascii="Palatino Linotype" w:hAnsi="Palatino Linotype"/>
          <w:i/>
          <w:sz w:val="22"/>
          <w:szCs w:val="22"/>
        </w:rPr>
      </w:pPr>
      <w:r w:rsidRPr="00D61F2D">
        <w:rPr>
          <w:rFonts w:ascii="Palatino Linotype" w:hAnsi="Palatino Linotype"/>
          <w:b/>
          <w:i/>
          <w:sz w:val="22"/>
          <w:szCs w:val="22"/>
        </w:rPr>
        <w:t>Artículo 95.-</w:t>
      </w:r>
      <w:r w:rsidRPr="000C288A">
        <w:rPr>
          <w:rFonts w:ascii="Palatino Linotype" w:hAnsi="Palatino Linotype"/>
          <w:i/>
          <w:sz w:val="22"/>
          <w:szCs w:val="22"/>
        </w:rPr>
        <w:t xml:space="preserve"> Son atribuciones del tesorero municipal:</w:t>
      </w:r>
    </w:p>
    <w:p w14:paraId="33F2887A" w14:textId="1CD6CD5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757712C5"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14:paraId="2CA1DD14" w14:textId="77777777" w:rsidR="00CA4BED"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E67D276"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XVI. Glosar oportunamente las</w:t>
      </w:r>
      <w:r w:rsidR="000C288A" w:rsidRPr="000C288A">
        <w:rPr>
          <w:rFonts w:ascii="Palatino Linotype" w:hAnsi="Palatino Linotype"/>
          <w:i/>
          <w:sz w:val="22"/>
          <w:szCs w:val="22"/>
        </w:rPr>
        <w:t xml:space="preserve"> cuentas del ayuntamiento;</w:t>
      </w:r>
    </w:p>
    <w:p w14:paraId="239E3CE9"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w:t>
      </w:r>
      <w:r w:rsidR="000C288A" w:rsidRPr="000C288A">
        <w:rPr>
          <w:rFonts w:ascii="Palatino Linotype" w:hAnsi="Palatino Linotype"/>
          <w:i/>
          <w:sz w:val="22"/>
          <w:szCs w:val="22"/>
        </w:rPr>
        <w:t>informando al Ayuntamiento;</w:t>
      </w:r>
    </w:p>
    <w:p w14:paraId="7DC13C7D" w14:textId="77777777" w:rsidR="000C288A" w:rsidRPr="000C288A" w:rsidRDefault="00CA4BED" w:rsidP="000C288A">
      <w:pPr>
        <w:ind w:left="851" w:right="899"/>
        <w:jc w:val="both"/>
        <w:rPr>
          <w:rFonts w:ascii="Palatino Linotype" w:hAnsi="Palatino Linotype"/>
          <w:i/>
          <w:sz w:val="22"/>
          <w:szCs w:val="22"/>
        </w:rPr>
      </w:pPr>
      <w:r w:rsidRPr="000C288A">
        <w:rPr>
          <w:rFonts w:ascii="Palatino Linotype" w:hAnsi="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14:paraId="423087F3" w14:textId="77777777" w:rsidR="000C288A" w:rsidRPr="000C288A" w:rsidRDefault="000C288A" w:rsidP="000C288A">
      <w:pPr>
        <w:ind w:left="851" w:right="899"/>
        <w:jc w:val="both"/>
        <w:rPr>
          <w:rFonts w:ascii="Palatino Linotype" w:hAnsi="Palatino Linotype"/>
          <w:i/>
          <w:sz w:val="22"/>
          <w:szCs w:val="22"/>
        </w:rPr>
      </w:pPr>
      <w:r w:rsidRPr="000C288A">
        <w:rPr>
          <w:rFonts w:ascii="Palatino Linotype" w:hAnsi="Palatino Linotype"/>
          <w:i/>
          <w:sz w:val="22"/>
          <w:szCs w:val="22"/>
        </w:rPr>
        <w:t>…</w:t>
      </w:r>
    </w:p>
    <w:p w14:paraId="680BE750" w14:textId="5ADC4F7D" w:rsidR="00366153" w:rsidRPr="000C288A" w:rsidRDefault="00CA4BED" w:rsidP="000C288A">
      <w:pPr>
        <w:ind w:left="851" w:right="899"/>
        <w:jc w:val="both"/>
        <w:rPr>
          <w:rFonts w:ascii="Palatino Linotype" w:hAnsi="Palatino Linotype" w:cs="Arial"/>
          <w:i/>
          <w:sz w:val="22"/>
          <w:szCs w:val="22"/>
          <w:lang w:eastAsia="es-MX"/>
        </w:rPr>
      </w:pPr>
      <w:r w:rsidRPr="000C288A">
        <w:rPr>
          <w:rFonts w:ascii="Palatino Linotype" w:hAnsi="Palatino Linotype"/>
          <w:i/>
          <w:sz w:val="22"/>
          <w:szCs w:val="22"/>
        </w:rPr>
        <w:t>XXI. Entregar oportunamente a él o los Síndicos, según sea el caso, el informe mensual que corresponda, a fin de que se revise, y de ser necesario, para que se formulen las observaciones respectivas.</w:t>
      </w:r>
      <w:r w:rsidR="00A87E6F" w:rsidRPr="000C288A">
        <w:rPr>
          <w:rFonts w:ascii="Palatino Linotype" w:hAnsi="Palatino Linotype" w:cs="Arial"/>
          <w:i/>
          <w:sz w:val="22"/>
          <w:szCs w:val="22"/>
          <w:lang w:eastAsia="es-MX"/>
        </w:rPr>
        <w:t>” (Sic)</w:t>
      </w:r>
    </w:p>
    <w:p w14:paraId="19FC1A93" w14:textId="77777777" w:rsidR="00366153" w:rsidRDefault="00366153" w:rsidP="000B1AD6">
      <w:pPr>
        <w:spacing w:before="240" w:after="240" w:line="360" w:lineRule="auto"/>
        <w:ind w:right="49"/>
        <w:contextualSpacing/>
        <w:jc w:val="both"/>
        <w:rPr>
          <w:rFonts w:ascii="Palatino Linotype" w:hAnsi="Palatino Linotype" w:cs="Arial"/>
        </w:rPr>
      </w:pPr>
    </w:p>
    <w:p w14:paraId="04C37D94" w14:textId="3DC182F2" w:rsidR="00A87E6F" w:rsidRDefault="000C288A" w:rsidP="000C288A">
      <w:pPr>
        <w:spacing w:before="240" w:after="240" w:line="360" w:lineRule="auto"/>
        <w:ind w:right="49"/>
        <w:contextualSpacing/>
        <w:jc w:val="both"/>
        <w:rPr>
          <w:rFonts w:ascii="Palatino Linotype" w:hAnsi="Palatino Linotype" w:cs="Arial"/>
        </w:rPr>
      </w:pPr>
      <w:r>
        <w:rPr>
          <w:rFonts w:ascii="Palatino Linotype" w:hAnsi="Palatino Linotype" w:cs="Arial"/>
        </w:rPr>
        <w:t>De los anteriores preceptos legales</w:t>
      </w:r>
      <w:r w:rsidR="00A87E6F">
        <w:rPr>
          <w:rFonts w:ascii="Palatino Linotype" w:hAnsi="Palatino Linotype" w:cs="Arial"/>
        </w:rPr>
        <w:t xml:space="preserve">, se establece que la </w:t>
      </w:r>
      <w:r>
        <w:rPr>
          <w:rFonts w:ascii="Palatino Linotype" w:hAnsi="Palatino Linotype" w:cs="Arial"/>
        </w:rPr>
        <w:t>Tesorería Municipal</w:t>
      </w:r>
      <w:r w:rsidR="00A87E6F">
        <w:rPr>
          <w:rFonts w:ascii="Palatino Linotype" w:hAnsi="Palatino Linotype" w:cs="Arial"/>
        </w:rPr>
        <w:t xml:space="preserve"> es </w:t>
      </w:r>
      <w:r>
        <w:rPr>
          <w:rFonts w:ascii="Palatino Linotype" w:hAnsi="Palatino Linotype" w:cs="Arial"/>
        </w:rPr>
        <w:t>la encargada de realizar todas las erogaciones</w:t>
      </w:r>
      <w:r w:rsidR="0015020B">
        <w:rPr>
          <w:rFonts w:ascii="Palatino Linotype" w:hAnsi="Palatino Linotype" w:cs="Arial"/>
        </w:rPr>
        <w:t xml:space="preserve"> del Ayuntamiento de </w:t>
      </w:r>
      <w:proofErr w:type="spellStart"/>
      <w:r w:rsidR="005E1AF5">
        <w:rPr>
          <w:rFonts w:ascii="Palatino Linotype" w:hAnsi="Palatino Linotype" w:cs="Arial"/>
        </w:rPr>
        <w:t>Nopaltepec</w:t>
      </w:r>
      <w:proofErr w:type="spellEnd"/>
      <w:r w:rsidR="0015020B">
        <w:rPr>
          <w:rFonts w:ascii="Palatino Linotype" w:hAnsi="Palatino Linotype" w:cs="Arial"/>
        </w:rPr>
        <w:t>,</w:t>
      </w:r>
      <w:r>
        <w:rPr>
          <w:rFonts w:ascii="Palatino Linotype" w:hAnsi="Palatino Linotype" w:cs="Arial"/>
        </w:rPr>
        <w:t xml:space="preserve"> </w:t>
      </w:r>
      <w:r w:rsidR="0015020B">
        <w:rPr>
          <w:rFonts w:ascii="Palatino Linotype" w:hAnsi="Palatino Linotype" w:cs="Arial"/>
        </w:rPr>
        <w:t xml:space="preserve">así como atender los informes requeridos por el Órgano Superior de Fiscalización del Estado de México; con la respectiva supervisión y observaciones que haga </w:t>
      </w:r>
      <w:r w:rsidR="005E1AF5">
        <w:rPr>
          <w:rFonts w:ascii="Palatino Linotype" w:hAnsi="Palatino Linotype" w:cs="Arial"/>
        </w:rPr>
        <w:t xml:space="preserve">el </w:t>
      </w:r>
      <w:r w:rsidR="0015020B">
        <w:rPr>
          <w:rFonts w:ascii="Palatino Linotype" w:hAnsi="Palatino Linotype" w:cs="Arial"/>
        </w:rPr>
        <w:t xml:space="preserve">Síndico </w:t>
      </w:r>
      <w:r w:rsidR="0015020B">
        <w:rPr>
          <w:rFonts w:ascii="Palatino Linotype" w:hAnsi="Palatino Linotype" w:cs="Arial"/>
        </w:rPr>
        <w:lastRenderedPageBreak/>
        <w:t>del Municipio a la Tesorería, lo que con lleva analizar la Ley de Fiscalización Superior del Estado de México.</w:t>
      </w:r>
    </w:p>
    <w:p w14:paraId="7FC9910D" w14:textId="77777777" w:rsidR="000C288A" w:rsidRDefault="000C288A" w:rsidP="000C288A">
      <w:pPr>
        <w:spacing w:before="240" w:after="240" w:line="360" w:lineRule="auto"/>
        <w:ind w:right="49"/>
        <w:contextualSpacing/>
        <w:jc w:val="both"/>
        <w:rPr>
          <w:rFonts w:ascii="Palatino Linotype" w:hAnsi="Palatino Linotype" w:cs="Arial"/>
        </w:rPr>
      </w:pPr>
    </w:p>
    <w:p w14:paraId="6046CE17" w14:textId="3B9673F8" w:rsidR="008A5044" w:rsidRDefault="008A5044" w:rsidP="008A5044">
      <w:pPr>
        <w:spacing w:before="240" w:after="240" w:line="360" w:lineRule="auto"/>
        <w:jc w:val="both"/>
        <w:rPr>
          <w:rFonts w:ascii="Palatino Linotype" w:hAnsi="Palatino Linotype" w:cs="Arial"/>
          <w:lang w:eastAsia="en-US"/>
        </w:rPr>
      </w:pPr>
      <w:r>
        <w:rPr>
          <w:rFonts w:ascii="Palatino Linotype" w:hAnsi="Palatino Linotype" w:cs="Arial"/>
        </w:rPr>
        <w:t xml:space="preserve">Antes de entrar al estudio de la Ley de Fiscalización Superior del Estado de México; es necesario precisar </w:t>
      </w:r>
      <w:r>
        <w:rPr>
          <w:rFonts w:ascii="Palatino Linotype" w:hAnsi="Palatino Linotype"/>
        </w:rPr>
        <w:t xml:space="preserve">en atención a que el particular solicitó </w:t>
      </w:r>
      <w:r w:rsidR="002A5D25">
        <w:rPr>
          <w:rFonts w:ascii="Palatino Linotype" w:hAnsi="Palatino Linotype"/>
        </w:rPr>
        <w:t xml:space="preserve"> las percepciones brutas y netas del Presidente, Sindico y Regidores del municipio de </w:t>
      </w:r>
      <w:proofErr w:type="spellStart"/>
      <w:r w:rsidR="002A5D25">
        <w:rPr>
          <w:rFonts w:ascii="Palatino Linotype" w:hAnsi="Palatino Linotype"/>
        </w:rPr>
        <w:t>Nopaltepec</w:t>
      </w:r>
      <w:proofErr w:type="spellEnd"/>
      <w:r w:rsidR="002A5D25">
        <w:rPr>
          <w:rFonts w:ascii="Palatino Linotype" w:hAnsi="Palatino Linotype"/>
        </w:rPr>
        <w:t xml:space="preserve">, lo cual se traduce en </w:t>
      </w:r>
      <w:r w:rsidR="0013223D">
        <w:rPr>
          <w:rFonts w:ascii="Palatino Linotype" w:hAnsi="Palatino Linotype"/>
        </w:rPr>
        <w:t xml:space="preserve">elementos que componen </w:t>
      </w:r>
      <w:r w:rsidR="002A5D25">
        <w:rPr>
          <w:rFonts w:ascii="Palatino Linotype" w:hAnsi="Palatino Linotype"/>
        </w:rPr>
        <w:t xml:space="preserve"> </w:t>
      </w:r>
      <w:r>
        <w:rPr>
          <w:rFonts w:ascii="Palatino Linotype" w:hAnsi="Palatino Linotype"/>
        </w:rPr>
        <w:t xml:space="preserve">la nómina, razón que nos lleva a precisar que </w:t>
      </w:r>
      <w:r>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Pr>
          <w:rFonts w:ascii="Palatino Linotype" w:hAnsi="Palatino Linotype" w:cs="Arial"/>
        </w:rPr>
        <w:t>Presupuestación</w:t>
      </w:r>
      <w:proofErr w:type="spellEnd"/>
      <w:r>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75D2F03" w14:textId="77777777" w:rsidR="008A5044" w:rsidRPr="006F0935" w:rsidRDefault="008A5044" w:rsidP="008A5044">
      <w:pPr>
        <w:spacing w:before="240" w:after="240"/>
        <w:ind w:left="851" w:right="851"/>
        <w:contextualSpacing/>
        <w:jc w:val="both"/>
        <w:rPr>
          <w:rFonts w:ascii="Palatino Linotype" w:hAnsi="Palatino Linotype" w:cs="Arial"/>
          <w:i/>
          <w:sz w:val="22"/>
          <w:szCs w:val="22"/>
        </w:rPr>
      </w:pPr>
      <w:r w:rsidRPr="006F0935">
        <w:rPr>
          <w:rFonts w:ascii="Palatino Linotype" w:hAnsi="Palatino Linotype" w:cs="Arial"/>
          <w:b/>
          <w:bCs/>
          <w:i/>
          <w:sz w:val="22"/>
          <w:szCs w:val="22"/>
        </w:rPr>
        <w:t xml:space="preserve">“NÓMINA </w:t>
      </w:r>
      <w:r w:rsidRPr="006F0935">
        <w:rPr>
          <w:rFonts w:ascii="Palatino Linotype" w:hAnsi="Palatino Linotype" w:cs="Arial"/>
          <w:i/>
          <w:sz w:val="22"/>
          <w:szCs w:val="22"/>
        </w:rPr>
        <w:t>Listado general de los trabajadores de una institución, en</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el cual se asientan las percepciones brutas, deducciones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 xml:space="preserve">alcance neto </w:t>
      </w:r>
      <w:r w:rsidRPr="006F0935">
        <w:rPr>
          <w:rFonts w:ascii="Palatino Linotype" w:hAnsi="Palatino Linotype" w:cs="Arial"/>
          <w:i/>
          <w:color w:val="000000"/>
          <w:sz w:val="22"/>
          <w:szCs w:val="22"/>
        </w:rPr>
        <w:t>de</w:t>
      </w:r>
      <w:r w:rsidRPr="006F0935">
        <w:rPr>
          <w:rFonts w:ascii="Palatino Linotype" w:hAnsi="Palatino Linotype" w:cs="Arial"/>
          <w:i/>
          <w:sz w:val="22"/>
          <w:szCs w:val="22"/>
        </w:rPr>
        <w:t xml:space="preserve"> las mismas; la nómina es utilizada para</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efectuar los pagos periódicos (semanales, quincenales o</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mensuales) a los trabajadores por concepto de sueldos y</w:t>
      </w:r>
      <w:r w:rsidRPr="006F0935">
        <w:rPr>
          <w:rFonts w:ascii="Palatino Linotype" w:hAnsi="Palatino Linotype" w:cs="Arial"/>
          <w:b/>
          <w:bCs/>
          <w:i/>
          <w:sz w:val="22"/>
          <w:szCs w:val="22"/>
        </w:rPr>
        <w:t xml:space="preserve"> </w:t>
      </w:r>
      <w:r w:rsidRPr="006F0935">
        <w:rPr>
          <w:rFonts w:ascii="Palatino Linotype" w:hAnsi="Palatino Linotype" w:cs="Arial"/>
          <w:i/>
          <w:sz w:val="22"/>
          <w:szCs w:val="22"/>
        </w:rPr>
        <w:t>salarios.”</w:t>
      </w:r>
    </w:p>
    <w:p w14:paraId="168A0B70" w14:textId="77777777" w:rsidR="008A5044" w:rsidRDefault="008A5044" w:rsidP="008A5044">
      <w:pPr>
        <w:spacing w:line="360" w:lineRule="auto"/>
        <w:jc w:val="both"/>
        <w:rPr>
          <w:rFonts w:ascii="Palatino Linotype" w:hAnsi="Palatino Linotype" w:cs="Arial"/>
          <w:i/>
        </w:rPr>
      </w:pPr>
    </w:p>
    <w:p w14:paraId="48E58940" w14:textId="4EC67986" w:rsidR="008A5044" w:rsidRDefault="0013223D" w:rsidP="008A5044">
      <w:pPr>
        <w:spacing w:line="360" w:lineRule="auto"/>
        <w:jc w:val="both"/>
        <w:rPr>
          <w:rFonts w:ascii="Palatino Linotype" w:hAnsi="Palatino Linotype" w:cs="Arial"/>
          <w:lang w:val="es-MX" w:eastAsia="es-MX"/>
        </w:rPr>
      </w:pPr>
      <w:r>
        <w:rPr>
          <w:rFonts w:ascii="Palatino Linotype" w:hAnsi="Palatino Linotype" w:cs="Arial"/>
        </w:rPr>
        <w:t>Con</w:t>
      </w:r>
      <w:r w:rsidR="008A5044">
        <w:rPr>
          <w:rFonts w:ascii="Palatino Linotype" w:hAnsi="Palatino Linotype" w:cs="Arial"/>
        </w:rPr>
        <w:t xml:space="preserve"> base </w:t>
      </w:r>
      <w:r>
        <w:rPr>
          <w:rFonts w:ascii="Palatino Linotype" w:hAnsi="Palatino Linotype" w:cs="Arial"/>
        </w:rPr>
        <w:t>en</w:t>
      </w:r>
      <w:r w:rsidR="008A5044">
        <w:rPr>
          <w:rFonts w:ascii="Palatino Linotype" w:hAnsi="Palatino Linotype" w:cs="Arial"/>
        </w:rPr>
        <w:t xml:space="preserve"> lo anterior, conviene </w:t>
      </w:r>
      <w:r>
        <w:rPr>
          <w:rFonts w:ascii="Palatino Linotype" w:hAnsi="Palatino Linotype" w:cs="Arial"/>
        </w:rPr>
        <w:t>citar</w:t>
      </w:r>
      <w:r w:rsidR="008A5044">
        <w:rPr>
          <w:rFonts w:ascii="Palatino Linotype" w:hAnsi="Palatino Linotype" w:cs="Arial"/>
        </w:rPr>
        <w:t xml:space="preserve"> lo establecido por </w:t>
      </w:r>
      <w:r w:rsidR="008A5044">
        <w:rPr>
          <w:rFonts w:ascii="Palatino Linotype" w:hAnsi="Palatino Linotype" w:cs="Arial"/>
          <w:lang w:eastAsia="es-MX"/>
        </w:rPr>
        <w:t xml:space="preserve">el artículo 804, fracción II, de la Ley Federal de Trabajo, el cual a la letra establece: </w:t>
      </w:r>
    </w:p>
    <w:p w14:paraId="28CF339E" w14:textId="77777777" w:rsidR="008A5044" w:rsidRDefault="008A5044" w:rsidP="008A5044">
      <w:pPr>
        <w:spacing w:before="240"/>
        <w:ind w:left="851" w:right="851"/>
        <w:contextualSpacing/>
        <w:jc w:val="both"/>
        <w:rPr>
          <w:rFonts w:ascii="Palatino Linotype" w:hAnsi="Palatino Linotype" w:cs="Arial"/>
          <w:bCs/>
          <w:i/>
          <w:szCs w:val="20"/>
          <w:lang w:eastAsia="es-MX"/>
        </w:rPr>
      </w:pPr>
    </w:p>
    <w:p w14:paraId="2FFC064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Pr>
          <w:rFonts w:ascii="Palatino Linotype" w:hAnsi="Palatino Linotype" w:cs="Arial"/>
          <w:bCs/>
          <w:i/>
          <w:szCs w:val="20"/>
          <w:lang w:eastAsia="es-MX"/>
        </w:rPr>
        <w:t>“</w:t>
      </w:r>
      <w:r w:rsidRPr="006F0935">
        <w:rPr>
          <w:rFonts w:ascii="Palatino Linotype" w:hAnsi="Palatino Linotype" w:cs="Arial"/>
          <w:b/>
          <w:i/>
          <w:sz w:val="22"/>
          <w:szCs w:val="22"/>
          <w:lang w:eastAsia="es-MX"/>
        </w:rPr>
        <w:t>Artículo 804.-</w:t>
      </w:r>
      <w:r w:rsidRPr="006F0935">
        <w:rPr>
          <w:rFonts w:ascii="Palatino Linotype" w:hAnsi="Palatino Linotype" w:cs="Arial"/>
          <w:i/>
          <w:sz w:val="22"/>
          <w:szCs w:val="22"/>
          <w:lang w:eastAsia="es-MX"/>
        </w:rPr>
        <w:t xml:space="preserve"> </w:t>
      </w:r>
      <w:r w:rsidRPr="006F0935">
        <w:rPr>
          <w:rFonts w:ascii="Palatino Linotype" w:hAnsi="Palatino Linotype" w:cs="Arial"/>
          <w:b/>
          <w:i/>
          <w:sz w:val="22"/>
          <w:szCs w:val="22"/>
          <w:lang w:eastAsia="es-MX"/>
        </w:rPr>
        <w:t>El patrón tiene obligación de conservar y exhibir en juicio los documentos que a continuación se precisan</w:t>
      </w:r>
      <w:r>
        <w:rPr>
          <w:rFonts w:ascii="Palatino Linotype" w:hAnsi="Palatino Linotype" w:cs="Arial"/>
          <w:i/>
          <w:sz w:val="22"/>
          <w:szCs w:val="22"/>
          <w:lang w:eastAsia="es-MX"/>
        </w:rPr>
        <w:t>:</w:t>
      </w:r>
    </w:p>
    <w:p w14:paraId="728A598A"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p>
    <w:p w14:paraId="4099EB5C"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II. </w:t>
      </w:r>
      <w:r w:rsidRPr="006F0935">
        <w:rPr>
          <w:rFonts w:ascii="Palatino Linotype" w:hAnsi="Palatino Linotype" w:cs="Arial"/>
          <w:b/>
          <w:i/>
          <w:sz w:val="22"/>
          <w:szCs w:val="22"/>
          <w:lang w:eastAsia="es-MX"/>
        </w:rPr>
        <w:t>Listas de raya o nómina de personal</w:t>
      </w:r>
      <w:r w:rsidRPr="006F0935">
        <w:rPr>
          <w:rFonts w:ascii="Palatino Linotype" w:hAnsi="Palatino Linotype" w:cs="Arial"/>
          <w:i/>
          <w:sz w:val="22"/>
          <w:szCs w:val="22"/>
          <w:lang w:eastAsia="es-MX"/>
        </w:rPr>
        <w:t xml:space="preserve">, cuando se lleven en el centro de trabajo; o recibos de pagos de salarios; </w:t>
      </w:r>
    </w:p>
    <w:p w14:paraId="6BE6F55F"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w:t>
      </w:r>
    </w:p>
    <w:p w14:paraId="16602C42" w14:textId="77777777" w:rsidR="008A5044" w:rsidRPr="006F0935" w:rsidRDefault="008A5044" w:rsidP="008A5044">
      <w:pPr>
        <w:spacing w:before="240"/>
        <w:ind w:left="851" w:right="851"/>
        <w:contextualSpacing/>
        <w:jc w:val="both"/>
        <w:rPr>
          <w:rFonts w:ascii="Palatino Linotype" w:hAnsi="Palatino Linotype" w:cs="Arial"/>
          <w:i/>
          <w:sz w:val="22"/>
          <w:szCs w:val="22"/>
          <w:lang w:eastAsia="es-MX"/>
        </w:rPr>
      </w:pPr>
      <w:r w:rsidRPr="006F0935">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6F0935">
        <w:rPr>
          <w:rFonts w:ascii="Palatino Linotype" w:hAnsi="Palatino Linotype" w:cs="Arial"/>
          <w:b/>
          <w:i/>
          <w:sz w:val="22"/>
          <w:szCs w:val="22"/>
          <w:lang w:eastAsia="es-MX"/>
        </w:rPr>
        <w:t>los señalados en las fracciones II, III y IV, durante el último año y un año después de que se extinga la relación laboral</w:t>
      </w:r>
      <w:r w:rsidRPr="006F0935">
        <w:rPr>
          <w:rFonts w:ascii="Palatino Linotype" w:hAnsi="Palatino Linotype" w:cs="Arial"/>
          <w:i/>
          <w:sz w:val="22"/>
          <w:szCs w:val="22"/>
          <w:lang w:eastAsia="es-MX"/>
        </w:rPr>
        <w:t xml:space="preserve">; y los mencionados en la fracción V, conforme lo señalen las Leyes que los rijan.” </w:t>
      </w:r>
      <w:r>
        <w:rPr>
          <w:rFonts w:ascii="Palatino Linotype" w:hAnsi="Palatino Linotype" w:cs="Arial"/>
          <w:i/>
          <w:sz w:val="22"/>
          <w:szCs w:val="22"/>
          <w:lang w:eastAsia="es-MX"/>
        </w:rPr>
        <w:t>(Sic)</w:t>
      </w:r>
    </w:p>
    <w:p w14:paraId="028EA570" w14:textId="77777777" w:rsidR="008A5044" w:rsidRDefault="008A5044" w:rsidP="008A5044">
      <w:pPr>
        <w:tabs>
          <w:tab w:val="right" w:leader="dot" w:pos="8505"/>
        </w:tabs>
        <w:spacing w:before="240" w:after="240" w:line="360" w:lineRule="auto"/>
        <w:contextualSpacing/>
        <w:jc w:val="both"/>
        <w:rPr>
          <w:rFonts w:ascii="Palatino Linotype" w:hAnsi="Palatino Linotype" w:cs="Arial"/>
          <w:lang w:eastAsia="es-MX"/>
        </w:rPr>
      </w:pPr>
    </w:p>
    <w:p w14:paraId="356D7BC6" w14:textId="71190421" w:rsidR="008A5044" w:rsidRDefault="008A5044" w:rsidP="008A5044">
      <w:pPr>
        <w:spacing w:before="240" w:after="240" w:line="360" w:lineRule="auto"/>
        <w:jc w:val="both"/>
        <w:rPr>
          <w:rFonts w:ascii="Palatino Linotype" w:hAnsi="Palatino Linotype" w:cs="Arial"/>
        </w:rPr>
      </w:pPr>
      <w:r>
        <w:rPr>
          <w:rFonts w:ascii="Palatino Linotype" w:hAnsi="Palatino Linotype" w:cs="Arial"/>
          <w:lang w:eastAsia="es-MX"/>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r w:rsidR="008D4F69">
        <w:rPr>
          <w:rFonts w:ascii="Palatino Linotype" w:hAnsi="Palatino Linotype" w:cs="Arial"/>
          <w:lang w:eastAsia="es-MX"/>
        </w:rPr>
        <w:t>.</w:t>
      </w:r>
    </w:p>
    <w:p w14:paraId="56500488" w14:textId="1DC1991F" w:rsidR="008A5044" w:rsidRDefault="008A5044" w:rsidP="008A5044">
      <w:pPr>
        <w:spacing w:before="240" w:after="360" w:line="360" w:lineRule="auto"/>
        <w:ind w:right="51"/>
        <w:contextualSpacing/>
        <w:jc w:val="both"/>
        <w:rPr>
          <w:rFonts w:ascii="Palatino Linotype" w:hAnsi="Palatino Linotype" w:cs="Arial"/>
        </w:rPr>
      </w:pPr>
      <w:r>
        <w:rPr>
          <w:rFonts w:ascii="Palatino Linotype" w:hAnsi="Palatino Linotype" w:cs="Arial"/>
        </w:rPr>
        <w:t>De ahí que, el artículo 50 de la Ley del Trabajo de los Servidores Públicos del Estado y Municipios, dispone literalmente</w:t>
      </w:r>
      <w:r w:rsidR="00C0163B">
        <w:rPr>
          <w:rFonts w:ascii="Palatino Linotype" w:hAnsi="Palatino Linotype" w:cs="Arial"/>
        </w:rPr>
        <w:t xml:space="preserve"> lo siguiente</w:t>
      </w:r>
      <w:r>
        <w:rPr>
          <w:rFonts w:ascii="Palatino Linotype" w:hAnsi="Palatino Linotype" w:cs="Arial"/>
        </w:rPr>
        <w:t>:</w:t>
      </w:r>
    </w:p>
    <w:p w14:paraId="56CABD41" w14:textId="77777777" w:rsidR="008A5044" w:rsidRPr="008D4F69" w:rsidRDefault="008A5044" w:rsidP="008A5044">
      <w:pPr>
        <w:spacing w:before="240" w:after="360" w:line="360" w:lineRule="auto"/>
        <w:ind w:right="51"/>
        <w:contextualSpacing/>
        <w:jc w:val="both"/>
        <w:rPr>
          <w:rFonts w:ascii="Palatino Linotype" w:hAnsi="Palatino Linotype" w:cs="Arial"/>
          <w:sz w:val="8"/>
        </w:rPr>
      </w:pPr>
    </w:p>
    <w:p w14:paraId="3ACB5D60" w14:textId="77777777" w:rsidR="008A5044" w:rsidRPr="00425674" w:rsidRDefault="008A5044" w:rsidP="008A5044">
      <w:pPr>
        <w:spacing w:before="240"/>
        <w:ind w:left="851" w:right="851"/>
        <w:contextualSpacing/>
        <w:jc w:val="both"/>
        <w:rPr>
          <w:rFonts w:ascii="Palatino Linotype" w:hAnsi="Palatino Linotype" w:cstheme="minorBidi"/>
          <w:i/>
          <w:sz w:val="22"/>
          <w:szCs w:val="22"/>
        </w:rPr>
      </w:pPr>
      <w:r w:rsidRPr="00425674">
        <w:rPr>
          <w:rFonts w:ascii="Palatino Linotype" w:hAnsi="Palatino Linotype"/>
          <w:i/>
          <w:sz w:val="22"/>
          <w:szCs w:val="22"/>
        </w:rPr>
        <w:t>“</w:t>
      </w:r>
      <w:r w:rsidRPr="00425674">
        <w:rPr>
          <w:rFonts w:ascii="Palatino Linotype" w:hAnsi="Palatino Linotype"/>
          <w:b/>
          <w:i/>
          <w:sz w:val="22"/>
          <w:szCs w:val="22"/>
        </w:rPr>
        <w:t>ARTÍCULO 50</w:t>
      </w:r>
      <w:r w:rsidRPr="00425674">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26CA01E5" w14:textId="77777777" w:rsidR="008A5044" w:rsidRPr="00425674" w:rsidRDefault="008A5044" w:rsidP="008A5044">
      <w:pPr>
        <w:spacing w:before="240"/>
        <w:ind w:left="851" w:right="851"/>
        <w:contextualSpacing/>
        <w:jc w:val="both"/>
        <w:rPr>
          <w:rFonts w:ascii="Palatino Linotype" w:hAnsi="Palatino Linotype"/>
          <w:b/>
          <w:i/>
          <w:sz w:val="22"/>
          <w:szCs w:val="22"/>
        </w:rPr>
      </w:pPr>
      <w:r w:rsidRPr="00425674">
        <w:rPr>
          <w:rFonts w:ascii="Palatino Linotype" w:hAnsi="Palatino Linotype"/>
          <w:i/>
          <w:sz w:val="22"/>
          <w:szCs w:val="22"/>
        </w:rPr>
        <w:t xml:space="preserve">Iguales consecuencias se generarán para todos los </w:t>
      </w:r>
      <w:r w:rsidRPr="00C0163B">
        <w:rPr>
          <w:rFonts w:ascii="Palatino Linotype" w:hAnsi="Palatino Linotype"/>
          <w:i/>
          <w:sz w:val="22"/>
          <w:szCs w:val="22"/>
        </w:rPr>
        <w:t>servidores públicos, cuando la relación de trabajo se formalice mediante un contrato o por encontrarse en lista de raya</w:t>
      </w:r>
      <w:r>
        <w:rPr>
          <w:rFonts w:ascii="Palatino Linotype" w:hAnsi="Palatino Linotype"/>
          <w:i/>
          <w:sz w:val="22"/>
          <w:szCs w:val="22"/>
        </w:rPr>
        <w:t>.”(Sic)</w:t>
      </w:r>
    </w:p>
    <w:p w14:paraId="2EB775C0" w14:textId="77777777" w:rsidR="008A5044" w:rsidRDefault="008A5044" w:rsidP="008A5044">
      <w:pPr>
        <w:spacing w:before="240" w:after="360" w:line="360" w:lineRule="auto"/>
        <w:ind w:right="49"/>
        <w:jc w:val="both"/>
        <w:rPr>
          <w:rFonts w:ascii="Palatino Linotype" w:hAnsi="Palatino Linotype" w:cs="Arial"/>
        </w:rPr>
      </w:pPr>
      <w:r>
        <w:rPr>
          <w:rFonts w:ascii="Palatino Linotype" w:hAnsi="Palatino Linotype" w:cs="Arial"/>
        </w:rPr>
        <w:t>De lo anterior, se advierte que la relación laboral entre un servidor público y el Estado se formaliza mediante nombramiento, contrato, formato único de movimientos de personal o por encontrarse en lista de raya.</w:t>
      </w:r>
    </w:p>
    <w:p w14:paraId="4F2D0C22" w14:textId="77777777" w:rsidR="008A5044" w:rsidRDefault="008A5044" w:rsidP="008A5044">
      <w:pPr>
        <w:spacing w:before="240" w:after="240" w:line="360" w:lineRule="auto"/>
        <w:ind w:right="49"/>
        <w:jc w:val="both"/>
        <w:rPr>
          <w:rFonts w:ascii="Palatino Linotype" w:hAnsi="Palatino Linotype" w:cs="Arial"/>
        </w:rPr>
      </w:pPr>
      <w:r>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0E3755D6" w14:textId="77777777" w:rsidR="008A5044" w:rsidRPr="00425674" w:rsidRDefault="008A5044" w:rsidP="008A5044">
      <w:pPr>
        <w:tabs>
          <w:tab w:val="left" w:pos="9072"/>
        </w:tabs>
        <w:spacing w:before="240"/>
        <w:ind w:left="851" w:right="851"/>
        <w:contextualSpacing/>
        <w:jc w:val="both"/>
        <w:rPr>
          <w:rFonts w:ascii="Palatino Linotype" w:hAnsi="Palatino Linotype" w:cstheme="minorBidi"/>
          <w:bCs/>
          <w:i/>
          <w:sz w:val="22"/>
          <w:szCs w:val="22"/>
        </w:rPr>
      </w:pPr>
      <w:r w:rsidRPr="00425674">
        <w:rPr>
          <w:rFonts w:ascii="Palatino Linotype" w:hAnsi="Palatino Linotype"/>
          <w:b/>
          <w:bCs/>
          <w:i/>
          <w:sz w:val="22"/>
          <w:szCs w:val="22"/>
        </w:rPr>
        <w:lastRenderedPageBreak/>
        <w:t>“ARTÍCULO 220 K.-</w:t>
      </w:r>
      <w:r w:rsidRPr="00425674">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7BE4B247"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0F984F33"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 xml:space="preserve">II. Recibos de pagos de salarios o </w:t>
      </w:r>
      <w:r w:rsidRPr="00425674">
        <w:rPr>
          <w:rFonts w:ascii="Palatino Linotype" w:hAnsi="Palatino Linotype"/>
          <w:b/>
          <w:bCs/>
          <w:i/>
          <w:sz w:val="22"/>
          <w:szCs w:val="22"/>
        </w:rPr>
        <w:t>las constancias documentales del pago de salario</w:t>
      </w:r>
      <w:r w:rsidRPr="00425674">
        <w:rPr>
          <w:rFonts w:ascii="Palatino Linotype" w:hAnsi="Palatino Linotype"/>
          <w:bCs/>
          <w:i/>
          <w:sz w:val="22"/>
          <w:szCs w:val="22"/>
        </w:rPr>
        <w:t xml:space="preserve"> cuando sea por depósito o mediante información electrónica;</w:t>
      </w:r>
    </w:p>
    <w:p w14:paraId="6122FF50"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Pr>
          <w:rFonts w:ascii="Palatino Linotype" w:hAnsi="Palatino Linotype"/>
          <w:bCs/>
          <w:i/>
          <w:sz w:val="22"/>
          <w:szCs w:val="22"/>
        </w:rPr>
        <w:t>…</w:t>
      </w:r>
    </w:p>
    <w:p w14:paraId="16A98B36"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14E66B8"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r w:rsidRPr="00425674">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37C75AFD" w14:textId="77777777" w:rsidR="008A5044" w:rsidRPr="00425674" w:rsidRDefault="008A5044" w:rsidP="008A5044">
      <w:pPr>
        <w:tabs>
          <w:tab w:val="left" w:pos="9072"/>
        </w:tabs>
        <w:spacing w:before="240"/>
        <w:ind w:left="851" w:right="851"/>
        <w:contextualSpacing/>
        <w:jc w:val="both"/>
        <w:rPr>
          <w:rFonts w:ascii="Palatino Linotype" w:hAnsi="Palatino Linotype"/>
          <w:bCs/>
          <w:i/>
          <w:sz w:val="22"/>
          <w:szCs w:val="22"/>
        </w:rPr>
      </w:pPr>
    </w:p>
    <w:p w14:paraId="56CAC027" w14:textId="59838AB7" w:rsidR="00DC1E0E" w:rsidRDefault="008A5044" w:rsidP="009A136C">
      <w:pPr>
        <w:spacing w:before="240" w:after="240" w:line="360" w:lineRule="auto"/>
        <w:ind w:right="51"/>
        <w:contextualSpacing/>
        <w:jc w:val="both"/>
        <w:rPr>
          <w:rFonts w:ascii="Palatino Linotype" w:hAnsi="Palatino Linotype" w:cs="Arial"/>
        </w:rPr>
      </w:pPr>
      <w:r>
        <w:rPr>
          <w:rFonts w:ascii="Palatino Linotype" w:hAnsi="Palatino Linotype" w:cs="Arial"/>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66D80BF" w14:textId="77777777" w:rsidR="009A136C" w:rsidRDefault="009A136C" w:rsidP="009A136C">
      <w:pPr>
        <w:spacing w:before="240" w:after="240" w:line="360" w:lineRule="auto"/>
        <w:ind w:right="51"/>
        <w:contextualSpacing/>
        <w:jc w:val="both"/>
        <w:rPr>
          <w:rFonts w:ascii="Palatino Linotype" w:hAnsi="Palatino Linotype" w:cs="Arial"/>
        </w:rPr>
      </w:pPr>
    </w:p>
    <w:p w14:paraId="1E17A1C6" w14:textId="52AF1B9E" w:rsidR="00C0163B" w:rsidRDefault="00C0163B" w:rsidP="00C0163B">
      <w:pPr>
        <w:tabs>
          <w:tab w:val="right" w:leader="dot" w:pos="8505"/>
        </w:tabs>
        <w:spacing w:before="240" w:after="240" w:line="360" w:lineRule="auto"/>
        <w:jc w:val="both"/>
        <w:rPr>
          <w:rStyle w:val="apple-style-span"/>
          <w:rFonts w:cstheme="minorBidi"/>
          <w:color w:val="000000"/>
        </w:rPr>
      </w:pPr>
      <w:r>
        <w:rPr>
          <w:rFonts w:ascii="Palatino Linotype" w:hAnsi="Palatino Linotype"/>
        </w:rPr>
        <w:t xml:space="preserve">Una vez precisado </w:t>
      </w:r>
      <w:r w:rsidR="00DB571A">
        <w:rPr>
          <w:rFonts w:ascii="Palatino Linotype" w:hAnsi="Palatino Linotype"/>
        </w:rPr>
        <w:t>anterior</w:t>
      </w:r>
      <w:r>
        <w:rPr>
          <w:rFonts w:ascii="Palatino Linotype" w:hAnsi="Palatino Linotype"/>
        </w:rPr>
        <w:t xml:space="preserve"> y re</w:t>
      </w:r>
      <w:r w:rsidR="00DB571A">
        <w:rPr>
          <w:rFonts w:ascii="Palatino Linotype" w:hAnsi="Palatino Linotype"/>
        </w:rPr>
        <w:t>tomando e</w:t>
      </w:r>
      <w:r>
        <w:rPr>
          <w:rFonts w:ascii="Palatino Linotype" w:hAnsi="Palatino Linotype"/>
        </w:rPr>
        <w:t xml:space="preserve">l estudio de la Ley de Fiscalización alusiva, es importante indicar </w:t>
      </w:r>
      <w:r>
        <w:rPr>
          <w:rFonts w:ascii="Palatino Linotype" w:hAnsi="Palatino Linotype"/>
          <w:color w:val="000000"/>
        </w:rPr>
        <w:t xml:space="preserve">que los municipios que conforman el Estado de México, entre ellos el Sujeto Obligado son considerados como entes fiscalizables, como así lo señala el artículo 4 fracción II de la </w:t>
      </w:r>
      <w:r>
        <w:rPr>
          <w:rStyle w:val="apple-style-span"/>
          <w:rFonts w:ascii="Palatino Linotype" w:hAnsi="Palatino Linotype" w:cs="Arial"/>
          <w:color w:val="000000"/>
        </w:rPr>
        <w:t>Ley de Fiscalización Superior del Es</w:t>
      </w:r>
      <w:r w:rsidR="00087B6F">
        <w:rPr>
          <w:rStyle w:val="apple-style-span"/>
          <w:rFonts w:ascii="Palatino Linotype" w:hAnsi="Palatino Linotype" w:cs="Arial"/>
          <w:color w:val="000000"/>
        </w:rPr>
        <w:t>tado de México, el cual señala:</w:t>
      </w:r>
    </w:p>
    <w:p w14:paraId="0BA5E6C0" w14:textId="77777777" w:rsidR="00C0163B" w:rsidRDefault="00C0163B" w:rsidP="00C0163B">
      <w:pPr>
        <w:autoSpaceDE w:val="0"/>
        <w:autoSpaceDN w:val="0"/>
        <w:adjustRightInd w:val="0"/>
        <w:spacing w:before="240"/>
        <w:ind w:left="851" w:right="851"/>
        <w:contextualSpacing/>
        <w:jc w:val="both"/>
        <w:rPr>
          <w:rFonts w:ascii="Palatino Linotype" w:hAnsi="Palatino Linotype" w:cs="Arial"/>
          <w:i/>
          <w:sz w:val="22"/>
          <w:szCs w:val="22"/>
          <w:lang w:eastAsia="es-MX"/>
        </w:rPr>
      </w:pPr>
      <w:r>
        <w:rPr>
          <w:rFonts w:ascii="Palatino Linotype" w:hAnsi="Palatino Linotype" w:cs="Arial"/>
          <w:b/>
          <w:bCs/>
          <w:i/>
          <w:lang w:eastAsia="es-MX"/>
        </w:rPr>
        <w:t>“</w:t>
      </w:r>
      <w:r w:rsidRPr="00425674">
        <w:rPr>
          <w:rFonts w:ascii="Palatino Linotype" w:hAnsi="Palatino Linotype" w:cs="Arial"/>
          <w:b/>
          <w:bCs/>
          <w:i/>
          <w:sz w:val="22"/>
          <w:szCs w:val="22"/>
          <w:lang w:eastAsia="es-MX"/>
        </w:rPr>
        <w:t xml:space="preserve">Artículo 4. </w:t>
      </w:r>
      <w:r w:rsidRPr="00425674">
        <w:rPr>
          <w:rFonts w:ascii="Palatino Linotype" w:hAnsi="Palatino Linotype" w:cs="Arial"/>
          <w:i/>
          <w:sz w:val="22"/>
          <w:szCs w:val="22"/>
          <w:lang w:eastAsia="es-MX"/>
        </w:rPr>
        <w:t>Son sujetos de fiscalización:</w:t>
      </w:r>
    </w:p>
    <w:p w14:paraId="7692019A" w14:textId="77777777" w:rsidR="00C0163B" w:rsidRPr="000B2171" w:rsidRDefault="00C0163B" w:rsidP="00C0163B">
      <w:pPr>
        <w:autoSpaceDE w:val="0"/>
        <w:autoSpaceDN w:val="0"/>
        <w:adjustRightInd w:val="0"/>
        <w:spacing w:before="240"/>
        <w:ind w:left="851" w:right="851"/>
        <w:contextualSpacing/>
        <w:jc w:val="both"/>
        <w:rPr>
          <w:rFonts w:cs="Arial"/>
          <w:i/>
          <w:sz w:val="22"/>
          <w:szCs w:val="22"/>
          <w:lang w:eastAsia="es-MX"/>
        </w:rPr>
      </w:pPr>
      <w:r w:rsidRPr="000B2171">
        <w:rPr>
          <w:rFonts w:ascii="Palatino Linotype" w:hAnsi="Palatino Linotype" w:cs="Arial"/>
          <w:bCs/>
          <w:i/>
          <w:lang w:eastAsia="es-MX"/>
        </w:rPr>
        <w:t>…</w:t>
      </w:r>
    </w:p>
    <w:p w14:paraId="5A547771" w14:textId="77777777" w:rsidR="00C0163B" w:rsidRPr="000B2171" w:rsidRDefault="00C0163B" w:rsidP="00C0163B">
      <w:pPr>
        <w:autoSpaceDE w:val="0"/>
        <w:autoSpaceDN w:val="0"/>
        <w:adjustRightInd w:val="0"/>
        <w:spacing w:before="240" w:after="160"/>
        <w:ind w:left="851" w:right="851"/>
        <w:contextualSpacing/>
        <w:jc w:val="both"/>
        <w:rPr>
          <w:rStyle w:val="apple-style-span"/>
          <w:b/>
          <w:color w:val="000000"/>
          <w:sz w:val="22"/>
          <w:szCs w:val="22"/>
          <w:lang w:eastAsia="en-US"/>
        </w:rPr>
      </w:pPr>
      <w:r>
        <w:rPr>
          <w:rFonts w:ascii="Palatino Linotype" w:hAnsi="Palatino Linotype" w:cs="Arial"/>
          <w:i/>
          <w:sz w:val="22"/>
          <w:szCs w:val="22"/>
          <w:lang w:eastAsia="es-MX"/>
        </w:rPr>
        <w:t xml:space="preserve">I. </w:t>
      </w:r>
      <w:r w:rsidRPr="000B2171">
        <w:rPr>
          <w:rFonts w:ascii="Palatino Linotype" w:hAnsi="Palatino Linotype" w:cs="Arial"/>
          <w:i/>
          <w:sz w:val="22"/>
          <w:szCs w:val="22"/>
          <w:lang w:eastAsia="es-MX"/>
        </w:rPr>
        <w:t xml:space="preserve">Los </w:t>
      </w:r>
      <w:r>
        <w:rPr>
          <w:rFonts w:ascii="Palatino Linotype" w:hAnsi="Palatino Linotype" w:cs="Arial"/>
          <w:i/>
          <w:sz w:val="22"/>
          <w:szCs w:val="22"/>
          <w:lang w:eastAsia="es-MX"/>
        </w:rPr>
        <w:t>municipios del Estado de México…</w:t>
      </w:r>
      <w:r w:rsidRPr="000B2171">
        <w:rPr>
          <w:rFonts w:ascii="Palatino Linotype" w:hAnsi="Palatino Linotype" w:cs="Arial"/>
          <w:i/>
          <w:sz w:val="22"/>
          <w:szCs w:val="22"/>
          <w:lang w:eastAsia="es-MX"/>
        </w:rPr>
        <w:t xml:space="preserve">” </w:t>
      </w:r>
      <w:r w:rsidRPr="000B2171">
        <w:rPr>
          <w:rFonts w:ascii="Palatino Linotype" w:hAnsi="Palatino Linotype" w:cs="Arial"/>
          <w:b/>
          <w:i/>
          <w:sz w:val="22"/>
          <w:szCs w:val="22"/>
          <w:lang w:eastAsia="es-MX"/>
        </w:rPr>
        <w:t>[Sic]</w:t>
      </w:r>
    </w:p>
    <w:p w14:paraId="757705AF" w14:textId="77777777" w:rsidR="00C0163B" w:rsidRDefault="00C0163B" w:rsidP="00C0163B">
      <w:pPr>
        <w:autoSpaceDE w:val="0"/>
        <w:autoSpaceDN w:val="0"/>
        <w:adjustRightInd w:val="0"/>
        <w:spacing w:line="360" w:lineRule="auto"/>
        <w:ind w:right="49"/>
        <w:jc w:val="both"/>
        <w:rPr>
          <w:rStyle w:val="apple-style-span"/>
          <w:rFonts w:ascii="Palatino Linotype" w:hAnsi="Palatino Linotype" w:cs="Arial"/>
          <w:color w:val="000000"/>
        </w:rPr>
      </w:pPr>
    </w:p>
    <w:p w14:paraId="72221065" w14:textId="7D4B37CD" w:rsidR="00C0163B" w:rsidRDefault="00EE6748" w:rsidP="00C0163B">
      <w:pPr>
        <w:autoSpaceDE w:val="0"/>
        <w:autoSpaceDN w:val="0"/>
        <w:adjustRightInd w:val="0"/>
        <w:spacing w:line="360" w:lineRule="auto"/>
        <w:ind w:right="49"/>
        <w:jc w:val="both"/>
        <w:rPr>
          <w:rStyle w:val="apple-style-span"/>
          <w:rFonts w:ascii="Palatino Linotype" w:hAnsi="Palatino Linotype" w:cs="Arial"/>
          <w:color w:val="000000"/>
        </w:rPr>
      </w:pPr>
      <w:r>
        <w:rPr>
          <w:rStyle w:val="apple-style-span"/>
          <w:rFonts w:ascii="Palatino Linotype" w:hAnsi="Palatino Linotype" w:cs="Arial"/>
          <w:color w:val="000000"/>
        </w:rPr>
        <w:t>Por su parte</w:t>
      </w:r>
      <w:r w:rsidR="00C0163B">
        <w:rPr>
          <w:rStyle w:val="apple-style-span"/>
          <w:rFonts w:ascii="Palatino Linotype" w:hAnsi="Palatino Linotype" w:cs="Arial"/>
          <w:color w:val="000000"/>
        </w:rPr>
        <w:t xml:space="preserve">, el ordenamiento legal referido señala en su artículo 8, fracción XI, que el Órgano Superior de Fiscalización del Estado de México, tiene </w:t>
      </w:r>
      <w:r>
        <w:rPr>
          <w:rStyle w:val="apple-style-span"/>
          <w:rFonts w:ascii="Palatino Linotype" w:hAnsi="Palatino Linotype" w:cs="Arial"/>
          <w:color w:val="000000"/>
        </w:rPr>
        <w:t>entre otras</w:t>
      </w:r>
      <w:r w:rsidR="00C0163B">
        <w:rPr>
          <w:rStyle w:val="apple-style-span"/>
          <w:rFonts w:ascii="Palatino Linotype" w:hAnsi="Palatino Linotype" w:cs="Arial"/>
          <w:color w:val="000000"/>
        </w:rPr>
        <w:t xml:space="preserve"> </w:t>
      </w:r>
      <w:r w:rsidR="00F22D69">
        <w:rPr>
          <w:rStyle w:val="apple-style-span"/>
          <w:rFonts w:ascii="Palatino Linotype" w:hAnsi="Palatino Linotype" w:cs="Arial"/>
          <w:color w:val="000000"/>
        </w:rPr>
        <w:t>atribuciones</w:t>
      </w:r>
      <w:r w:rsidR="00C0163B">
        <w:rPr>
          <w:rStyle w:val="apple-style-span"/>
          <w:rFonts w:ascii="Palatino Linotype" w:hAnsi="Palatino Linotype" w:cs="Arial"/>
          <w:color w:val="000000"/>
        </w:rPr>
        <w:t xml:space="preserve"> el de emitir los </w:t>
      </w:r>
      <w:r w:rsidR="00C0163B">
        <w:rPr>
          <w:rStyle w:val="apple-style-span"/>
          <w:rFonts w:ascii="Palatino Linotype" w:hAnsi="Palatino Linotype" w:cs="Arial"/>
          <w:b/>
          <w:color w:val="000000"/>
        </w:rPr>
        <w:t>Lineamientos para la Integración del Informe Mensual de forma anual</w:t>
      </w:r>
      <w:r w:rsidR="00C0163B">
        <w:rPr>
          <w:rStyle w:val="apple-style-span"/>
          <w:rFonts w:ascii="Palatino Linotype" w:hAnsi="Palatino Linotype" w:cs="Arial"/>
          <w:color w:val="000000"/>
        </w:rPr>
        <w:t xml:space="preserve">, </w:t>
      </w:r>
      <w:r w:rsidR="00F22D69">
        <w:rPr>
          <w:rStyle w:val="apple-style-span"/>
          <w:rFonts w:ascii="Palatino Linotype" w:hAnsi="Palatino Linotype" w:cs="Arial"/>
          <w:color w:val="000000"/>
        </w:rPr>
        <w:t>como se advierte a continuación</w:t>
      </w:r>
      <w:r w:rsidR="00C0163B">
        <w:rPr>
          <w:rStyle w:val="apple-style-span"/>
          <w:rFonts w:ascii="Palatino Linotype" w:hAnsi="Palatino Linotype" w:cs="Arial"/>
          <w:color w:val="000000"/>
        </w:rPr>
        <w:t>:</w:t>
      </w:r>
    </w:p>
    <w:p w14:paraId="1FDBDC6B" w14:textId="77777777" w:rsidR="00C0163B" w:rsidRDefault="00C0163B" w:rsidP="00C0163B">
      <w:pPr>
        <w:autoSpaceDE w:val="0"/>
        <w:autoSpaceDN w:val="0"/>
        <w:adjustRightInd w:val="0"/>
        <w:spacing w:line="360" w:lineRule="auto"/>
        <w:ind w:right="49"/>
        <w:jc w:val="both"/>
        <w:rPr>
          <w:rStyle w:val="apple-style-span"/>
          <w:rFonts w:ascii="Palatino Linotype" w:eastAsiaTheme="minorHAnsi" w:hAnsi="Palatino Linotype" w:cs="Arial"/>
          <w:bCs/>
          <w:color w:val="000000"/>
        </w:rPr>
      </w:pPr>
    </w:p>
    <w:p w14:paraId="50A3B3BC" w14:textId="77777777" w:rsidR="00C0163B" w:rsidRPr="00A235C8" w:rsidRDefault="00C0163B" w:rsidP="00C0163B">
      <w:pPr>
        <w:autoSpaceDE w:val="0"/>
        <w:autoSpaceDN w:val="0"/>
        <w:adjustRightInd w:val="0"/>
        <w:spacing w:before="240"/>
        <w:ind w:left="851" w:right="851"/>
        <w:contextualSpacing/>
        <w:jc w:val="both"/>
        <w:rPr>
          <w:i/>
          <w:sz w:val="22"/>
          <w:szCs w:val="22"/>
        </w:rPr>
      </w:pPr>
      <w:r w:rsidRPr="00A235C8">
        <w:rPr>
          <w:rFonts w:ascii="Palatino Linotype" w:hAnsi="Palatino Linotype" w:cs="Arial"/>
          <w:b/>
          <w:bCs/>
          <w:i/>
          <w:sz w:val="22"/>
          <w:szCs w:val="22"/>
        </w:rPr>
        <w:t xml:space="preserve">“Artículo 8. </w:t>
      </w:r>
      <w:r w:rsidRPr="00A235C8">
        <w:rPr>
          <w:rFonts w:ascii="Palatino Linotype" w:hAnsi="Palatino Linotype" w:cs="Arial"/>
          <w:i/>
          <w:sz w:val="22"/>
          <w:szCs w:val="22"/>
        </w:rPr>
        <w:t>El Órgano Superior tendrá las siguientes atribuciones:</w:t>
      </w:r>
    </w:p>
    <w:p w14:paraId="33331C59" w14:textId="11ADD1B7" w:rsidR="00C0163B" w:rsidRPr="00A235C8" w:rsidRDefault="00C0163B" w:rsidP="00C0163B">
      <w:pPr>
        <w:autoSpaceDE w:val="0"/>
        <w:autoSpaceDN w:val="0"/>
        <w:adjustRightInd w:val="0"/>
        <w:spacing w:before="240"/>
        <w:ind w:left="851" w:right="851"/>
        <w:contextualSpacing/>
        <w:jc w:val="both"/>
        <w:rPr>
          <w:rFonts w:ascii="Palatino Linotype" w:hAnsi="Palatino Linotype" w:cs="Arial"/>
          <w:i/>
          <w:sz w:val="22"/>
          <w:szCs w:val="22"/>
        </w:rPr>
      </w:pPr>
      <w:r>
        <w:rPr>
          <w:rFonts w:ascii="Palatino Linotype" w:hAnsi="Palatino Linotype" w:cs="Arial"/>
          <w:i/>
          <w:sz w:val="22"/>
          <w:szCs w:val="22"/>
        </w:rPr>
        <w:t>…</w:t>
      </w:r>
    </w:p>
    <w:p w14:paraId="4AD34F22" w14:textId="6868D406" w:rsidR="00C0163B" w:rsidRPr="00A235C8" w:rsidRDefault="00C0163B" w:rsidP="00C0163B">
      <w:pPr>
        <w:autoSpaceDE w:val="0"/>
        <w:autoSpaceDN w:val="0"/>
        <w:adjustRightInd w:val="0"/>
        <w:spacing w:before="240"/>
        <w:ind w:left="851" w:right="851"/>
        <w:contextualSpacing/>
        <w:jc w:val="both"/>
        <w:rPr>
          <w:rStyle w:val="apple-style-span"/>
          <w:rFonts w:ascii="Palatino Linotype" w:hAnsi="Palatino Linotype" w:cs="Arial"/>
          <w:b/>
          <w:i/>
          <w:sz w:val="22"/>
          <w:szCs w:val="22"/>
        </w:rPr>
      </w:pPr>
      <w:r w:rsidRPr="00A235C8">
        <w:rPr>
          <w:rFonts w:ascii="Palatino Linotype" w:hAnsi="Palatino Linotype" w:cs="Arial"/>
          <w:b/>
          <w:bCs/>
          <w:i/>
          <w:sz w:val="22"/>
          <w:szCs w:val="22"/>
        </w:rPr>
        <w:t xml:space="preserve">XI. </w:t>
      </w:r>
      <w:r w:rsidRPr="00A235C8">
        <w:rPr>
          <w:rFonts w:ascii="Palatino Linotype" w:hAnsi="Palatino Linotype" w:cs="Arial"/>
          <w:i/>
          <w:sz w:val="22"/>
          <w:szCs w:val="22"/>
        </w:rPr>
        <w:t>Establecer los lineamientos, criterios, procedimientos, métodos y sistemas para las acciones de control y evaluación, necesarios para la fiscalización de las cuentas públi</w:t>
      </w:r>
      <w:r>
        <w:rPr>
          <w:rFonts w:ascii="Palatino Linotype" w:hAnsi="Palatino Linotype" w:cs="Arial"/>
          <w:i/>
          <w:sz w:val="22"/>
          <w:szCs w:val="22"/>
        </w:rPr>
        <w:t>cas y los informes trimestrales…</w:t>
      </w:r>
      <w:r w:rsidRPr="00A235C8">
        <w:rPr>
          <w:rStyle w:val="apple-style-span"/>
          <w:rFonts w:ascii="Palatino Linotype" w:hAnsi="Palatino Linotype" w:cs="Arial"/>
          <w:color w:val="000000"/>
          <w:sz w:val="22"/>
          <w:szCs w:val="22"/>
        </w:rPr>
        <w:t xml:space="preserve">” </w:t>
      </w:r>
      <w:r w:rsidRPr="00A235C8">
        <w:rPr>
          <w:rStyle w:val="apple-style-span"/>
          <w:rFonts w:ascii="Palatino Linotype" w:hAnsi="Palatino Linotype" w:cs="Arial"/>
          <w:b/>
          <w:sz w:val="22"/>
          <w:szCs w:val="22"/>
        </w:rPr>
        <w:t>(</w:t>
      </w:r>
      <w:r w:rsidRPr="00A235C8">
        <w:rPr>
          <w:rStyle w:val="apple-style-span"/>
          <w:rFonts w:ascii="Palatino Linotype" w:hAnsi="Palatino Linotype" w:cs="Arial"/>
          <w:b/>
          <w:i/>
          <w:sz w:val="22"/>
          <w:szCs w:val="22"/>
        </w:rPr>
        <w:t>Sic)</w:t>
      </w:r>
    </w:p>
    <w:p w14:paraId="71AE2064" w14:textId="582A1BCF" w:rsidR="00F22D69" w:rsidRDefault="00F22D69" w:rsidP="00C0163B">
      <w:pPr>
        <w:spacing w:line="360" w:lineRule="auto"/>
        <w:contextualSpacing/>
        <w:jc w:val="both"/>
        <w:rPr>
          <w:rFonts w:ascii="Palatino Linotype" w:hAnsi="Palatino Linotype"/>
        </w:rPr>
      </w:pPr>
    </w:p>
    <w:p w14:paraId="4DCC6E72" w14:textId="4DD409A4" w:rsidR="00C0163B" w:rsidRDefault="00F22D69" w:rsidP="00C0163B">
      <w:pPr>
        <w:spacing w:line="360" w:lineRule="auto"/>
        <w:contextualSpacing/>
        <w:jc w:val="both"/>
        <w:rPr>
          <w:rFonts w:ascii="Palatino Linotype" w:hAnsi="Palatino Linotype"/>
        </w:rPr>
      </w:pPr>
      <w:r>
        <w:rPr>
          <w:rFonts w:ascii="Palatino Linotype" w:hAnsi="Palatino Linotype"/>
        </w:rPr>
        <w:t>Ahora bien,</w:t>
      </w:r>
      <w:r w:rsidR="00EE6748">
        <w:rPr>
          <w:rFonts w:ascii="Palatino Linotype" w:hAnsi="Palatino Linotype"/>
        </w:rPr>
        <w:t xml:space="preserve"> estos </w:t>
      </w:r>
      <w:r w:rsidR="00C0163B" w:rsidRPr="00201BE8">
        <w:rPr>
          <w:rFonts w:ascii="Palatino Linotype" w:hAnsi="Palatino Linotype"/>
        </w:rPr>
        <w:t xml:space="preserve">Lineamientos </w:t>
      </w:r>
      <w:r w:rsidR="00C0163B" w:rsidRPr="00201BE8">
        <w:rPr>
          <w:rStyle w:val="apple-style-span"/>
          <w:rFonts w:ascii="Palatino Linotype" w:hAnsi="Palatino Linotype" w:cs="Arial"/>
          <w:color w:val="000000"/>
        </w:rPr>
        <w:t>para la Integración del Informe Mensual</w:t>
      </w:r>
      <w:r w:rsidR="00C0163B">
        <w:rPr>
          <w:rFonts w:ascii="Palatino Linotype" w:hAnsi="Palatino Linotype"/>
        </w:rPr>
        <w:t xml:space="preserve">, emitidos por el Órgano Superior de Fiscalización del Estado de México </w:t>
      </w:r>
      <w:r w:rsidR="00C0163B" w:rsidRPr="00201BE8">
        <w:rPr>
          <w:rStyle w:val="apple-style-span"/>
          <w:rFonts w:ascii="Palatino Linotype" w:hAnsi="Palatino Linotype" w:cs="Arial"/>
          <w:color w:val="000000"/>
        </w:rPr>
        <w:t>para el ejercicio fiscal 2018</w:t>
      </w:r>
      <w:r w:rsidR="00C0163B">
        <w:rPr>
          <w:rFonts w:ascii="Palatino Linotype" w:hAnsi="Palatino Linotype"/>
        </w:rPr>
        <w:t xml:space="preserve">, contienen los criterios, formatos y documentación necesaria para presentar los informes mensuales, dentro de los cuales se destaca en el Disco </w:t>
      </w:r>
      <w:r w:rsidR="00EE6748">
        <w:rPr>
          <w:rFonts w:ascii="Palatino Linotype" w:hAnsi="Palatino Linotype"/>
        </w:rPr>
        <w:t>4</w:t>
      </w:r>
      <w:r w:rsidR="00C0163B">
        <w:rPr>
          <w:rFonts w:ascii="Palatino Linotype" w:hAnsi="Palatino Linotype"/>
        </w:rPr>
        <w:t xml:space="preserve">, lo relativo a la información de nómina, </w:t>
      </w:r>
      <w:r w:rsidR="00EE6748">
        <w:rPr>
          <w:rFonts w:ascii="Palatino Linotype" w:hAnsi="Palatino Linotype"/>
        </w:rPr>
        <w:t>tal como</w:t>
      </w:r>
      <w:r w:rsidR="00C0163B">
        <w:rPr>
          <w:rFonts w:ascii="Palatino Linotype" w:hAnsi="Palatino Linotype"/>
        </w:rPr>
        <w:t xml:space="preserve"> se aprecia en la siguiente imagen que de manera ilustrativa se inserta:</w:t>
      </w:r>
    </w:p>
    <w:p w14:paraId="271C0A70" w14:textId="47682A6A" w:rsidR="00C0163B" w:rsidRDefault="00C0163B" w:rsidP="004F1C4A">
      <w:pPr>
        <w:spacing w:before="240" w:after="240" w:line="360" w:lineRule="auto"/>
        <w:contextualSpacing/>
        <w:jc w:val="both"/>
        <w:rPr>
          <w:rFonts w:ascii="Palatino Linotype" w:hAnsi="Palatino Linotype"/>
        </w:rPr>
      </w:pPr>
    </w:p>
    <w:p w14:paraId="038AA754" w14:textId="022FEC5E" w:rsidR="00C0163B" w:rsidRDefault="00F22D69" w:rsidP="004F1C4A">
      <w:pPr>
        <w:spacing w:before="240" w:after="240" w:line="360" w:lineRule="auto"/>
        <w:contextualSpacing/>
        <w:jc w:val="both"/>
        <w:rPr>
          <w:rFonts w:ascii="Palatino Linotype" w:hAnsi="Palatino Linotype"/>
        </w:rPr>
      </w:pPr>
      <w:r>
        <w:rPr>
          <w:noProof/>
          <w:lang w:val="es-MX" w:eastAsia="es-MX"/>
        </w:rPr>
        <w:drawing>
          <wp:anchor distT="0" distB="0" distL="114300" distR="114300" simplePos="0" relativeHeight="251659264" behindDoc="0" locked="0" layoutInCell="1" allowOverlap="1" wp14:anchorId="36B5E52E" wp14:editId="0A1D1051">
            <wp:simplePos x="0" y="0"/>
            <wp:positionH relativeFrom="column">
              <wp:posOffset>142911</wp:posOffset>
            </wp:positionH>
            <wp:positionV relativeFrom="paragraph">
              <wp:posOffset>137330</wp:posOffset>
            </wp:positionV>
            <wp:extent cx="5332730" cy="308673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528" t="13062" r="33127" b="5226"/>
                    <a:stretch/>
                  </pic:blipFill>
                  <pic:spPr bwMode="auto">
                    <a:xfrm>
                      <a:off x="0" y="0"/>
                      <a:ext cx="5332730" cy="308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44206" w14:textId="77777777" w:rsidR="00F22D69" w:rsidRDefault="00F22D69" w:rsidP="00DF1EDA">
      <w:pPr>
        <w:spacing w:before="240" w:after="240" w:line="360" w:lineRule="auto"/>
        <w:contextualSpacing/>
        <w:jc w:val="both"/>
        <w:rPr>
          <w:rFonts w:ascii="Palatino Linotype" w:hAnsi="Palatino Linotype" w:cs="Arial"/>
        </w:rPr>
      </w:pPr>
    </w:p>
    <w:p w14:paraId="2215B24E" w14:textId="77777777" w:rsidR="00F22D69" w:rsidRDefault="00F22D69" w:rsidP="00DF1EDA">
      <w:pPr>
        <w:spacing w:before="240" w:after="240" w:line="360" w:lineRule="auto"/>
        <w:contextualSpacing/>
        <w:jc w:val="both"/>
        <w:rPr>
          <w:rFonts w:ascii="Palatino Linotype" w:hAnsi="Palatino Linotype" w:cs="Arial"/>
        </w:rPr>
      </w:pPr>
    </w:p>
    <w:p w14:paraId="356610CF" w14:textId="77777777" w:rsidR="00F22D69" w:rsidRDefault="00F22D69" w:rsidP="00DF1EDA">
      <w:pPr>
        <w:spacing w:before="240" w:after="240" w:line="360" w:lineRule="auto"/>
        <w:contextualSpacing/>
        <w:jc w:val="both"/>
        <w:rPr>
          <w:rFonts w:ascii="Palatino Linotype" w:hAnsi="Palatino Linotype" w:cs="Arial"/>
        </w:rPr>
      </w:pPr>
    </w:p>
    <w:p w14:paraId="279FB110" w14:textId="77777777" w:rsidR="00F22D69" w:rsidRDefault="00F22D69" w:rsidP="00DF1EDA">
      <w:pPr>
        <w:spacing w:before="240" w:after="240" w:line="360" w:lineRule="auto"/>
        <w:contextualSpacing/>
        <w:jc w:val="both"/>
        <w:rPr>
          <w:rFonts w:ascii="Palatino Linotype" w:hAnsi="Palatino Linotype" w:cs="Arial"/>
        </w:rPr>
      </w:pPr>
    </w:p>
    <w:p w14:paraId="345880D0" w14:textId="77777777" w:rsidR="00F22D69" w:rsidRDefault="00F22D69" w:rsidP="00DF1EDA">
      <w:pPr>
        <w:spacing w:before="240" w:after="240" w:line="360" w:lineRule="auto"/>
        <w:contextualSpacing/>
        <w:jc w:val="both"/>
        <w:rPr>
          <w:rFonts w:ascii="Palatino Linotype" w:hAnsi="Palatino Linotype" w:cs="Arial"/>
        </w:rPr>
      </w:pPr>
    </w:p>
    <w:p w14:paraId="425288C6" w14:textId="77777777" w:rsidR="00F22D69" w:rsidRDefault="00F22D69" w:rsidP="00DF1EDA">
      <w:pPr>
        <w:spacing w:before="240" w:after="240" w:line="360" w:lineRule="auto"/>
        <w:contextualSpacing/>
        <w:jc w:val="both"/>
        <w:rPr>
          <w:rFonts w:ascii="Palatino Linotype" w:hAnsi="Palatino Linotype" w:cs="Arial"/>
        </w:rPr>
      </w:pPr>
    </w:p>
    <w:p w14:paraId="7355EC44" w14:textId="02042DE2" w:rsidR="00F22D69" w:rsidRDefault="00F22D69" w:rsidP="00DF1EDA">
      <w:pPr>
        <w:spacing w:before="240" w:after="240" w:line="360" w:lineRule="auto"/>
        <w:contextualSpacing/>
        <w:jc w:val="both"/>
        <w:rPr>
          <w:rFonts w:ascii="Palatino Linotype" w:hAnsi="Palatino Linotype" w:cs="Arial"/>
        </w:rPr>
      </w:pPr>
    </w:p>
    <w:p w14:paraId="4255F2D3" w14:textId="7560D572" w:rsidR="00F22D69" w:rsidRDefault="00F22D69" w:rsidP="00DF1EDA">
      <w:pPr>
        <w:spacing w:before="240" w:after="240" w:line="360" w:lineRule="auto"/>
        <w:contextualSpacing/>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51708E82" wp14:editId="0A431AF2">
                <wp:simplePos x="0" y="0"/>
                <wp:positionH relativeFrom="column">
                  <wp:posOffset>214192</wp:posOffset>
                </wp:positionH>
                <wp:positionV relativeFrom="paragraph">
                  <wp:posOffset>47509</wp:posOffset>
                </wp:positionV>
                <wp:extent cx="2208530" cy="115766"/>
                <wp:effectExtent l="57150" t="38100" r="77470" b="93980"/>
                <wp:wrapNone/>
                <wp:docPr id="3" name="Rectángulo 3"/>
                <wp:cNvGraphicFramePr/>
                <a:graphic xmlns:a="http://schemas.openxmlformats.org/drawingml/2006/main">
                  <a:graphicData uri="http://schemas.microsoft.com/office/word/2010/wordprocessingShape">
                    <wps:wsp>
                      <wps:cNvSpPr/>
                      <wps:spPr>
                        <a:xfrm>
                          <a:off x="0" y="0"/>
                          <a:ext cx="2208530" cy="115766"/>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12044" id="Rectángulo 3" o:spid="_x0000_s1026" style="position:absolute;margin-left:16.85pt;margin-top:3.75pt;width:173.9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" filled="f" strokecolor="#4579b8 [3044]" strokeweight="2.25pt">
                <v:shadow on="t" color="black" opacity="22937f" origin=",.5" offset="0,.63889mm"/>
              </v:rect>
            </w:pict>
          </mc:Fallback>
        </mc:AlternateContent>
      </w:r>
    </w:p>
    <w:p w14:paraId="765167E2" w14:textId="03892AA9" w:rsidR="00F22D69" w:rsidRDefault="00F22D69" w:rsidP="00DF1EDA">
      <w:pPr>
        <w:spacing w:before="240" w:after="240" w:line="360" w:lineRule="auto"/>
        <w:contextualSpacing/>
        <w:jc w:val="both"/>
        <w:rPr>
          <w:rFonts w:ascii="Palatino Linotype" w:hAnsi="Palatino Linotype" w:cs="Arial"/>
        </w:rPr>
      </w:pPr>
    </w:p>
    <w:p w14:paraId="2C0B4423" w14:textId="018C33BB" w:rsidR="00F22D69" w:rsidRDefault="00F22D69" w:rsidP="00DF1EDA">
      <w:pPr>
        <w:spacing w:before="240" w:after="240" w:line="360" w:lineRule="auto"/>
        <w:contextualSpacing/>
        <w:jc w:val="both"/>
        <w:rPr>
          <w:rFonts w:ascii="Palatino Linotype" w:hAnsi="Palatino Linotype" w:cs="Arial"/>
        </w:rPr>
      </w:pPr>
    </w:p>
    <w:p w14:paraId="75CB31F0" w14:textId="1694774E" w:rsidR="00F22D69" w:rsidRDefault="00F22D69" w:rsidP="00F22D69">
      <w:pPr>
        <w:spacing w:line="360" w:lineRule="auto"/>
        <w:jc w:val="both"/>
        <w:rPr>
          <w:rFonts w:ascii="Palatino Linotype" w:hAnsi="Palatino Linotype"/>
        </w:rPr>
      </w:pPr>
      <w:r>
        <w:rPr>
          <w:rFonts w:ascii="Palatino Linotype" w:hAnsi="Palatino Linotype"/>
        </w:rPr>
        <w:t>Por otra parte, resulta oportuno</w:t>
      </w:r>
      <w:r w:rsidRPr="00E3009B">
        <w:rPr>
          <w:rFonts w:ascii="Palatino Linotype" w:hAnsi="Palatino Linotype"/>
        </w:rPr>
        <w:t xml:space="preserve">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w:t>
      </w:r>
      <w:r w:rsidR="009A136C">
        <w:rPr>
          <w:rFonts w:ascii="Palatino Linotype" w:hAnsi="Palatino Linotype"/>
        </w:rPr>
        <w:t>veinte</w:t>
      </w:r>
      <w:r w:rsidRPr="00E3009B">
        <w:rPr>
          <w:rFonts w:ascii="Palatino Linotype" w:hAnsi="Palatino Linotype"/>
        </w:rPr>
        <w:t xml:space="preserve"> días posteriores al término del mes correspondiente de acuerdo a lo establecido en el artículo 32 de la Ley de Fiscalización Superior del Estado de México, que a la letra dice:</w:t>
      </w:r>
    </w:p>
    <w:p w14:paraId="0F47BA0E" w14:textId="77777777" w:rsidR="00F22D69" w:rsidRPr="00E3009B" w:rsidRDefault="00F22D69" w:rsidP="00F22D69">
      <w:pPr>
        <w:spacing w:line="360" w:lineRule="auto"/>
        <w:jc w:val="both"/>
        <w:rPr>
          <w:rFonts w:ascii="Palatino Linotype" w:hAnsi="Palatino Linotype"/>
        </w:rPr>
      </w:pPr>
    </w:p>
    <w:p w14:paraId="4DB953EC"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b/>
          <w:i/>
          <w:sz w:val="22"/>
          <w:szCs w:val="22"/>
        </w:rPr>
        <w:t>“Artículo 32</w:t>
      </w:r>
      <w:r w:rsidRPr="00E3009B">
        <w:rPr>
          <w:rFonts w:ascii="Palatino Linotype" w:hAnsi="Palatino Linotype"/>
          <w:i/>
          <w:sz w:val="22"/>
          <w:szCs w:val="22"/>
        </w:rPr>
        <w:t>.- El Gobernador del Estado, por conducto del titular de la dependencia competente, presentará a la Legislatura la cuenta pública del Gobierno del Estado del ejercicio fiscal inmediato anterior, a más tardar el quince de mayo de cada año.</w:t>
      </w:r>
    </w:p>
    <w:p w14:paraId="59D55E59" w14:textId="77777777" w:rsidR="00F22D69" w:rsidRPr="00E3009B" w:rsidRDefault="00F22D69" w:rsidP="00F22D69">
      <w:pPr>
        <w:spacing w:before="240"/>
        <w:ind w:left="851" w:right="851"/>
        <w:contextualSpacing/>
        <w:jc w:val="both"/>
        <w:rPr>
          <w:rFonts w:ascii="Palatino Linotype" w:hAnsi="Palatino Linotype"/>
          <w:i/>
          <w:sz w:val="22"/>
          <w:szCs w:val="22"/>
        </w:rPr>
      </w:pPr>
      <w:r w:rsidRPr="00E3009B">
        <w:rPr>
          <w:rFonts w:ascii="Palatino Linotype" w:hAnsi="Palatino Linotype"/>
          <w:i/>
          <w:sz w:val="22"/>
          <w:szCs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E3009B">
        <w:rPr>
          <w:rFonts w:ascii="Palatino Linotype" w:hAnsi="Palatino Linotype"/>
          <w:b/>
          <w:i/>
          <w:sz w:val="22"/>
          <w:szCs w:val="22"/>
        </w:rPr>
        <w:t>los informes mensuales los deberán presentar dentro de los veinte días posteriores al término del mes correspondiente</w:t>
      </w:r>
      <w:r w:rsidRPr="00E3009B">
        <w:rPr>
          <w:rFonts w:ascii="Palatino Linotype" w:hAnsi="Palatino Linotype"/>
          <w:i/>
          <w:sz w:val="22"/>
          <w:szCs w:val="22"/>
        </w:rPr>
        <w:t>.”</w:t>
      </w:r>
      <w:r>
        <w:rPr>
          <w:rFonts w:ascii="Palatino Linotype" w:hAnsi="Palatino Linotype"/>
          <w:i/>
          <w:sz w:val="22"/>
          <w:szCs w:val="22"/>
        </w:rPr>
        <w:t>(Sic)</w:t>
      </w:r>
    </w:p>
    <w:p w14:paraId="69915F76" w14:textId="77777777" w:rsidR="00F22D69" w:rsidRDefault="00F22D69" w:rsidP="00F22D69">
      <w:pPr>
        <w:ind w:left="851" w:right="758"/>
        <w:jc w:val="both"/>
        <w:rPr>
          <w:rFonts w:ascii="Palatino Linotype" w:hAnsi="Palatino Linotype"/>
          <w:i/>
        </w:rPr>
      </w:pPr>
    </w:p>
    <w:p w14:paraId="090817A0" w14:textId="5A82C84B" w:rsidR="00F22D69" w:rsidRPr="00E3009B" w:rsidRDefault="00F22D69" w:rsidP="00F22D69">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Lo que se robustece con lo establecido por </w:t>
      </w:r>
      <w:r w:rsidR="00EE6748">
        <w:rPr>
          <w:rFonts w:ascii="Palatino Linotype" w:hAnsi="Palatino Linotype"/>
        </w:rPr>
        <w:t xml:space="preserve">el </w:t>
      </w:r>
      <w:r w:rsidRPr="00E3009B">
        <w:rPr>
          <w:rFonts w:ascii="Palatino Linotype" w:hAnsi="Palatino Linotype"/>
        </w:rPr>
        <w:t xml:space="preserve">artículo 350 del Código Financiero del Estado de México y Municipios, </w:t>
      </w:r>
      <w:r>
        <w:rPr>
          <w:rFonts w:ascii="Palatino Linotype" w:hAnsi="Palatino Linotype"/>
        </w:rPr>
        <w:t>que señala</w:t>
      </w:r>
      <w:r w:rsidRPr="00E3009B">
        <w:rPr>
          <w:rFonts w:ascii="Palatino Linotype" w:hAnsi="Palatino Linotype"/>
        </w:rPr>
        <w:t>:</w:t>
      </w:r>
    </w:p>
    <w:p w14:paraId="167EFBDE"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w:t>
      </w:r>
      <w:r w:rsidRPr="00E3009B">
        <w:rPr>
          <w:rFonts w:ascii="Palatino Linotype" w:hAnsi="Palatino Linotype"/>
          <w:b/>
          <w:i/>
          <w:sz w:val="22"/>
          <w:szCs w:val="22"/>
        </w:rPr>
        <w:t>Artículo 350</w:t>
      </w:r>
      <w:r w:rsidRPr="00E3009B">
        <w:rPr>
          <w:rFonts w:ascii="Palatino Linotype" w:hAnsi="Palatino Linotype"/>
          <w:i/>
          <w:sz w:val="22"/>
          <w:szCs w:val="22"/>
        </w:rPr>
        <w:t xml:space="preserve">.- Mensualmente dentro de los primeros veinte días hábiles, la Secretaría y las Tesorerías, enviarán para su análisis y evaluación al Órgano Superior de Fiscalización del Estado de México, la siguiente información: </w:t>
      </w:r>
    </w:p>
    <w:p w14:paraId="2091239B"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 Información patrimonial. </w:t>
      </w:r>
    </w:p>
    <w:p w14:paraId="7B0FAE5F"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 Información presupuestal. </w:t>
      </w:r>
    </w:p>
    <w:p w14:paraId="23A17424"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i/>
          <w:sz w:val="22"/>
          <w:szCs w:val="22"/>
        </w:rPr>
        <w:t xml:space="preserve">III. Información de la obra pública. </w:t>
      </w:r>
    </w:p>
    <w:p w14:paraId="03F145D9" w14:textId="77777777" w:rsidR="00F22D69" w:rsidRPr="00E3009B" w:rsidRDefault="00F22D69" w:rsidP="00F22D69">
      <w:pPr>
        <w:autoSpaceDE w:val="0"/>
        <w:autoSpaceDN w:val="0"/>
        <w:adjustRightInd w:val="0"/>
        <w:spacing w:before="240" w:after="240"/>
        <w:ind w:left="567" w:right="616"/>
        <w:contextualSpacing/>
        <w:jc w:val="both"/>
        <w:rPr>
          <w:rFonts w:ascii="Palatino Linotype" w:hAnsi="Palatino Linotype"/>
          <w:i/>
          <w:sz w:val="22"/>
          <w:szCs w:val="22"/>
        </w:rPr>
      </w:pPr>
      <w:r w:rsidRPr="00E3009B">
        <w:rPr>
          <w:rFonts w:ascii="Palatino Linotype" w:hAnsi="Palatino Linotype"/>
          <w:b/>
          <w:i/>
          <w:sz w:val="22"/>
          <w:szCs w:val="22"/>
        </w:rPr>
        <w:lastRenderedPageBreak/>
        <w:t>IV. Información de nómina</w:t>
      </w:r>
      <w:r w:rsidRPr="00E3009B">
        <w:rPr>
          <w:rFonts w:ascii="Palatino Linotype" w:hAnsi="Palatino Linotype"/>
          <w:i/>
          <w:sz w:val="22"/>
          <w:szCs w:val="22"/>
        </w:rPr>
        <w:t>.”</w:t>
      </w:r>
    </w:p>
    <w:p w14:paraId="5A115538" w14:textId="77777777" w:rsidR="00F22D69" w:rsidRDefault="00F22D69" w:rsidP="00F22D69">
      <w:pPr>
        <w:shd w:val="clear" w:color="auto" w:fill="FFFFFF"/>
        <w:spacing w:before="240" w:after="240" w:line="360" w:lineRule="auto"/>
        <w:jc w:val="both"/>
        <w:rPr>
          <w:rFonts w:asciiTheme="minorHAnsi" w:hAnsiTheme="minorHAnsi" w:cstheme="minorBidi"/>
          <w:noProof/>
          <w:sz w:val="22"/>
          <w:szCs w:val="22"/>
          <w:lang w:val="es-MX" w:eastAsia="es-MX"/>
        </w:rPr>
      </w:pPr>
    </w:p>
    <w:p w14:paraId="5C263FB0" w14:textId="1657723B" w:rsidR="009F0EDE" w:rsidRDefault="00BD7CD9" w:rsidP="00F22D69">
      <w:pPr>
        <w:shd w:val="clear" w:color="auto" w:fill="FFFFFF"/>
        <w:spacing w:before="240" w:after="240" w:line="360" w:lineRule="auto"/>
        <w:jc w:val="both"/>
        <w:rPr>
          <w:rFonts w:ascii="Palatino Linotype" w:hAnsi="Palatino Linotype" w:cs="Arial"/>
          <w:lang w:eastAsia="es-MX"/>
        </w:rPr>
      </w:pPr>
      <w:r>
        <w:rPr>
          <w:rFonts w:asciiTheme="minorHAnsi" w:hAnsiTheme="minorHAnsi" w:cstheme="minorBidi"/>
          <w:noProof/>
          <w:sz w:val="22"/>
          <w:szCs w:val="22"/>
          <w:lang w:val="es-MX" w:eastAsia="es-MX"/>
        </w:rPr>
        <w:drawing>
          <wp:anchor distT="0" distB="0" distL="114300" distR="114300" simplePos="0" relativeHeight="251663360" behindDoc="1" locked="0" layoutInCell="1" allowOverlap="1" wp14:anchorId="0B333385" wp14:editId="1999BF25">
            <wp:simplePos x="0" y="0"/>
            <wp:positionH relativeFrom="margin">
              <wp:align>left</wp:align>
            </wp:positionH>
            <wp:positionV relativeFrom="paragraph">
              <wp:posOffset>1517124</wp:posOffset>
            </wp:positionV>
            <wp:extent cx="5544355" cy="2367915"/>
            <wp:effectExtent l="19050" t="19050" r="18415" b="133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rotWithShape="1">
                    <a:blip r:embed="rId9">
                      <a:extLst>
                        <a:ext uri="{28A0092B-C50C-407E-A947-70E740481C1C}">
                          <a14:useLocalDpi xmlns:a14="http://schemas.microsoft.com/office/drawing/2010/main" val="0"/>
                        </a:ext>
                      </a:extLst>
                    </a:blip>
                    <a:srcRect b="31456"/>
                    <a:stretch/>
                  </pic:blipFill>
                  <pic:spPr bwMode="auto">
                    <a:xfrm>
                      <a:off x="0" y="0"/>
                      <a:ext cx="5544355" cy="2367915"/>
                    </a:xfrm>
                    <a:prstGeom prst="rect">
                      <a:avLst/>
                    </a:prstGeom>
                    <a:noFill/>
                    <a:ln w="9525" cap="flat" cmpd="sng" algn="ctr">
                      <a:solidFill>
                        <a:sysClr val="windowText" lastClr="000000">
                          <a:lumMod val="100000"/>
                          <a:lumOff val="0"/>
                        </a:sysClr>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2D69">
        <w:rPr>
          <w:rFonts w:ascii="Palatino Linotype" w:hAnsi="Palatino Linotype" w:cs="Arial"/>
          <w:lang w:eastAsia="es-MX"/>
        </w:rPr>
        <w:t>En ese sentido, los repetitivos Lineamientos para el ejercicio fiscal 2018, contienen entre otras cosas, los formatos que permiten recopilar la información correspondiente a la nómina general y el reporte de pagos a servidores públicos de mandos medios y superiores, como así se observa en las siguientes imágenes que manera ilustrativa se insertan:</w:t>
      </w:r>
    </w:p>
    <w:p w14:paraId="4741B015" w14:textId="285C96D5" w:rsidR="00F22D69" w:rsidRDefault="00F22D69" w:rsidP="00DF1EDA">
      <w:pPr>
        <w:spacing w:before="240" w:after="240" w:line="360" w:lineRule="auto"/>
        <w:contextualSpacing/>
        <w:jc w:val="both"/>
        <w:rPr>
          <w:rFonts w:ascii="Palatino Linotype" w:hAnsi="Palatino Linotype" w:cs="Arial"/>
        </w:rPr>
      </w:pPr>
    </w:p>
    <w:p w14:paraId="0B5277D1" w14:textId="77777777" w:rsidR="00F22D69" w:rsidRDefault="00F22D69" w:rsidP="00DF1EDA">
      <w:pPr>
        <w:spacing w:before="240" w:after="240" w:line="360" w:lineRule="auto"/>
        <w:contextualSpacing/>
        <w:jc w:val="both"/>
        <w:rPr>
          <w:rFonts w:ascii="Palatino Linotype" w:hAnsi="Palatino Linotype" w:cs="Arial"/>
        </w:rPr>
      </w:pPr>
    </w:p>
    <w:p w14:paraId="6A08BBFB" w14:textId="77777777" w:rsidR="00F22D69" w:rsidRDefault="00F22D69" w:rsidP="00DF1EDA">
      <w:pPr>
        <w:spacing w:before="240" w:after="240" w:line="360" w:lineRule="auto"/>
        <w:contextualSpacing/>
        <w:jc w:val="both"/>
        <w:rPr>
          <w:rFonts w:ascii="Palatino Linotype" w:hAnsi="Palatino Linotype" w:cs="Arial"/>
        </w:rPr>
      </w:pPr>
    </w:p>
    <w:p w14:paraId="6C208018" w14:textId="77777777" w:rsidR="00F22D69" w:rsidRDefault="00F22D69" w:rsidP="00DF1EDA">
      <w:pPr>
        <w:spacing w:before="240" w:after="240" w:line="360" w:lineRule="auto"/>
        <w:contextualSpacing/>
        <w:jc w:val="both"/>
        <w:rPr>
          <w:rFonts w:ascii="Palatino Linotype" w:hAnsi="Palatino Linotype" w:cs="Arial"/>
        </w:rPr>
      </w:pPr>
    </w:p>
    <w:p w14:paraId="35DF18D9" w14:textId="77777777" w:rsidR="00F22D69" w:rsidRDefault="00F22D69" w:rsidP="00DF1EDA">
      <w:pPr>
        <w:spacing w:before="240" w:after="240" w:line="360" w:lineRule="auto"/>
        <w:contextualSpacing/>
        <w:jc w:val="both"/>
        <w:rPr>
          <w:rFonts w:ascii="Palatino Linotype" w:hAnsi="Palatino Linotype" w:cs="Arial"/>
        </w:rPr>
      </w:pPr>
    </w:p>
    <w:p w14:paraId="4AC907AF" w14:textId="77777777" w:rsidR="00F22D69" w:rsidRDefault="00F22D69" w:rsidP="00DF1EDA">
      <w:pPr>
        <w:spacing w:before="240" w:after="240" w:line="360" w:lineRule="auto"/>
        <w:contextualSpacing/>
        <w:jc w:val="both"/>
        <w:rPr>
          <w:rFonts w:ascii="Palatino Linotype" w:hAnsi="Palatino Linotype" w:cs="Arial"/>
        </w:rPr>
      </w:pPr>
    </w:p>
    <w:p w14:paraId="1D38B006" w14:textId="163F7C1C" w:rsidR="00F22D69" w:rsidRDefault="00F22D69" w:rsidP="00DF1EDA">
      <w:pPr>
        <w:spacing w:before="240" w:after="240" w:line="360" w:lineRule="auto"/>
        <w:contextualSpacing/>
        <w:jc w:val="both"/>
        <w:rPr>
          <w:rFonts w:ascii="Palatino Linotype" w:hAnsi="Palatino Linotype" w:cs="Arial"/>
        </w:rPr>
      </w:pPr>
    </w:p>
    <w:p w14:paraId="4E4561F6" w14:textId="1C88EB0E" w:rsidR="007B282D" w:rsidRDefault="009F0EDE"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65408" behindDoc="0" locked="0" layoutInCell="1" allowOverlap="1" wp14:anchorId="51AEAA49" wp14:editId="08F6AE31">
            <wp:simplePos x="0" y="0"/>
            <wp:positionH relativeFrom="margin">
              <wp:posOffset>-71985</wp:posOffset>
            </wp:positionH>
            <wp:positionV relativeFrom="paragraph">
              <wp:posOffset>100591</wp:posOffset>
            </wp:positionV>
            <wp:extent cx="5560060" cy="2742565"/>
            <wp:effectExtent l="19050" t="19050" r="21590" b="196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rotWithShape="1">
                    <a:blip r:embed="rId10">
                      <a:extLst>
                        <a:ext uri="{28A0092B-C50C-407E-A947-70E740481C1C}">
                          <a14:useLocalDpi xmlns:a14="http://schemas.microsoft.com/office/drawing/2010/main" val="0"/>
                        </a:ext>
                      </a:extLst>
                    </a:blip>
                    <a:srcRect b="28460"/>
                    <a:stretch/>
                  </pic:blipFill>
                  <pic:spPr bwMode="auto">
                    <a:xfrm>
                      <a:off x="0" y="0"/>
                      <a:ext cx="5560060" cy="274256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CBFA46" w14:textId="77777777" w:rsidR="007B282D" w:rsidRDefault="007B282D" w:rsidP="00DF1EDA">
      <w:pPr>
        <w:spacing w:before="240" w:after="240" w:line="360" w:lineRule="auto"/>
        <w:contextualSpacing/>
        <w:jc w:val="both"/>
        <w:rPr>
          <w:rFonts w:ascii="Palatino Linotype" w:hAnsi="Palatino Linotype" w:cs="Arial"/>
        </w:rPr>
      </w:pPr>
    </w:p>
    <w:p w14:paraId="6A4D3C73" w14:textId="77777777" w:rsidR="007B282D" w:rsidRDefault="007B282D" w:rsidP="00DF1EDA">
      <w:pPr>
        <w:spacing w:before="240" w:after="240" w:line="360" w:lineRule="auto"/>
        <w:contextualSpacing/>
        <w:jc w:val="both"/>
        <w:rPr>
          <w:rFonts w:ascii="Palatino Linotype" w:hAnsi="Palatino Linotype" w:cs="Arial"/>
        </w:rPr>
      </w:pPr>
    </w:p>
    <w:p w14:paraId="3014ECA2" w14:textId="77777777" w:rsidR="007B282D" w:rsidRDefault="007B282D" w:rsidP="00DF1EDA">
      <w:pPr>
        <w:spacing w:before="240" w:after="240" w:line="360" w:lineRule="auto"/>
        <w:contextualSpacing/>
        <w:jc w:val="both"/>
        <w:rPr>
          <w:rFonts w:ascii="Palatino Linotype" w:hAnsi="Palatino Linotype" w:cs="Arial"/>
        </w:rPr>
      </w:pPr>
    </w:p>
    <w:p w14:paraId="2DC6C910" w14:textId="1FA1817D" w:rsidR="007B282D" w:rsidRDefault="007B282D" w:rsidP="00DF1EDA">
      <w:pPr>
        <w:spacing w:before="240" w:after="240" w:line="360" w:lineRule="auto"/>
        <w:contextualSpacing/>
        <w:jc w:val="both"/>
        <w:rPr>
          <w:rFonts w:ascii="Palatino Linotype" w:hAnsi="Palatino Linotype" w:cs="Arial"/>
        </w:rPr>
      </w:pPr>
    </w:p>
    <w:p w14:paraId="3E1C25DB" w14:textId="00FE86CC" w:rsidR="007B282D" w:rsidRDefault="007B282D" w:rsidP="00DF1EDA">
      <w:pPr>
        <w:spacing w:before="240" w:after="240" w:line="360" w:lineRule="auto"/>
        <w:contextualSpacing/>
        <w:jc w:val="both"/>
        <w:rPr>
          <w:rFonts w:ascii="Palatino Linotype" w:hAnsi="Palatino Linotype" w:cs="Arial"/>
        </w:rPr>
      </w:pPr>
    </w:p>
    <w:p w14:paraId="58E5217E" w14:textId="2DB68C61" w:rsidR="007B282D" w:rsidRDefault="007B282D" w:rsidP="00DF1EDA">
      <w:pPr>
        <w:spacing w:before="240" w:after="240" w:line="360" w:lineRule="auto"/>
        <w:contextualSpacing/>
        <w:jc w:val="both"/>
        <w:rPr>
          <w:rFonts w:ascii="Palatino Linotype" w:hAnsi="Palatino Linotype" w:cs="Arial"/>
        </w:rPr>
      </w:pPr>
    </w:p>
    <w:p w14:paraId="491C0FBE" w14:textId="212CE797" w:rsidR="007B282D" w:rsidRDefault="007B282D" w:rsidP="00DF1EDA">
      <w:pPr>
        <w:spacing w:before="240" w:after="240" w:line="360" w:lineRule="auto"/>
        <w:contextualSpacing/>
        <w:jc w:val="both"/>
        <w:rPr>
          <w:rFonts w:ascii="Palatino Linotype" w:hAnsi="Palatino Linotype" w:cs="Arial"/>
        </w:rPr>
      </w:pPr>
    </w:p>
    <w:p w14:paraId="5494C0EB" w14:textId="6A16247C" w:rsidR="007B282D" w:rsidRDefault="007B282D" w:rsidP="00DF1EDA">
      <w:pPr>
        <w:spacing w:before="240" w:after="240" w:line="360" w:lineRule="auto"/>
        <w:contextualSpacing/>
        <w:jc w:val="both"/>
        <w:rPr>
          <w:rFonts w:ascii="Palatino Linotype" w:hAnsi="Palatino Linotype" w:cs="Arial"/>
        </w:rPr>
      </w:pPr>
    </w:p>
    <w:p w14:paraId="69B9C97E" w14:textId="3B1E1ABC" w:rsidR="007B282D" w:rsidRDefault="007B282D" w:rsidP="00DF1EDA">
      <w:pPr>
        <w:spacing w:before="240" w:after="240" w:line="360" w:lineRule="auto"/>
        <w:contextualSpacing/>
        <w:jc w:val="both"/>
        <w:rPr>
          <w:rFonts w:ascii="Palatino Linotype" w:hAnsi="Palatino Linotype" w:cs="Arial"/>
        </w:rPr>
      </w:pPr>
    </w:p>
    <w:p w14:paraId="1773C39D" w14:textId="15C1D1AB" w:rsidR="007B282D" w:rsidRDefault="007B282D" w:rsidP="00DF1EDA">
      <w:pPr>
        <w:spacing w:before="240" w:after="240" w:line="360" w:lineRule="auto"/>
        <w:contextualSpacing/>
        <w:jc w:val="both"/>
        <w:rPr>
          <w:rFonts w:ascii="Palatino Linotype" w:hAnsi="Palatino Linotype" w:cs="Arial"/>
        </w:rPr>
      </w:pPr>
    </w:p>
    <w:p w14:paraId="4F241389" w14:textId="479542FF" w:rsidR="007B282D" w:rsidRDefault="00BD7CD9" w:rsidP="00DF1EDA">
      <w:pPr>
        <w:spacing w:before="240" w:after="240" w:line="360" w:lineRule="auto"/>
        <w:contextualSpacing/>
        <w:jc w:val="both"/>
        <w:rPr>
          <w:rFonts w:ascii="Palatino Linotype" w:hAnsi="Palatino Linotype" w:cs="Arial"/>
        </w:rPr>
      </w:pPr>
      <w:r>
        <w:rPr>
          <w:noProof/>
          <w:lang w:val="es-MX" w:eastAsia="es-MX"/>
        </w:rPr>
        <w:drawing>
          <wp:anchor distT="0" distB="0" distL="114300" distR="114300" simplePos="0" relativeHeight="251667456" behindDoc="1" locked="0" layoutInCell="1" allowOverlap="1" wp14:anchorId="7BA7B592" wp14:editId="760A05F5">
            <wp:simplePos x="0" y="0"/>
            <wp:positionH relativeFrom="margin">
              <wp:posOffset>176026</wp:posOffset>
            </wp:positionH>
            <wp:positionV relativeFrom="paragraph">
              <wp:posOffset>17561</wp:posOffset>
            </wp:positionV>
            <wp:extent cx="5685790" cy="2040890"/>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685790" cy="2040890"/>
                    </a:xfrm>
                    <a:prstGeom prst="rect">
                      <a:avLst/>
                    </a:prstGeom>
                  </pic:spPr>
                </pic:pic>
              </a:graphicData>
            </a:graphic>
            <wp14:sizeRelH relativeFrom="margin">
              <wp14:pctWidth>0</wp14:pctWidth>
            </wp14:sizeRelH>
            <wp14:sizeRelV relativeFrom="margin">
              <wp14:pctHeight>0</wp14:pctHeight>
            </wp14:sizeRelV>
          </wp:anchor>
        </w:drawing>
      </w:r>
    </w:p>
    <w:p w14:paraId="360E3CC5" w14:textId="368B6600" w:rsidR="007B282D" w:rsidRDefault="007B282D" w:rsidP="00DF1EDA">
      <w:pPr>
        <w:spacing w:before="240" w:after="240" w:line="360" w:lineRule="auto"/>
        <w:contextualSpacing/>
        <w:jc w:val="both"/>
        <w:rPr>
          <w:rFonts w:ascii="Palatino Linotype" w:hAnsi="Palatino Linotype" w:cs="Arial"/>
        </w:rPr>
      </w:pPr>
    </w:p>
    <w:p w14:paraId="5B3E2EC7" w14:textId="10E9E5CF" w:rsidR="007B282D" w:rsidRDefault="007B282D" w:rsidP="00DF1EDA">
      <w:pPr>
        <w:spacing w:before="240" w:after="240" w:line="360" w:lineRule="auto"/>
        <w:contextualSpacing/>
        <w:jc w:val="both"/>
        <w:rPr>
          <w:rFonts w:ascii="Palatino Linotype" w:hAnsi="Palatino Linotype" w:cs="Arial"/>
        </w:rPr>
      </w:pPr>
    </w:p>
    <w:p w14:paraId="7B9560A1" w14:textId="633785F4" w:rsidR="007B282D" w:rsidRDefault="007B282D" w:rsidP="00DF1EDA">
      <w:pPr>
        <w:spacing w:before="240" w:after="240" w:line="360" w:lineRule="auto"/>
        <w:contextualSpacing/>
        <w:jc w:val="both"/>
        <w:rPr>
          <w:rFonts w:ascii="Palatino Linotype" w:hAnsi="Palatino Linotype" w:cs="Arial"/>
        </w:rPr>
      </w:pPr>
    </w:p>
    <w:p w14:paraId="2CA9069D" w14:textId="1E183D45" w:rsidR="007B282D" w:rsidRDefault="007B282D" w:rsidP="00DF1EDA">
      <w:pPr>
        <w:spacing w:before="240" w:after="240" w:line="360" w:lineRule="auto"/>
        <w:contextualSpacing/>
        <w:jc w:val="both"/>
        <w:rPr>
          <w:rFonts w:ascii="Palatino Linotype" w:hAnsi="Palatino Linotype" w:cs="Arial"/>
        </w:rPr>
      </w:pPr>
    </w:p>
    <w:p w14:paraId="6B6F6DE7" w14:textId="4CD69FEE" w:rsidR="007B282D" w:rsidRDefault="007B282D" w:rsidP="00DF1EDA">
      <w:pPr>
        <w:spacing w:before="240" w:after="240" w:line="360" w:lineRule="auto"/>
        <w:contextualSpacing/>
        <w:jc w:val="both"/>
        <w:rPr>
          <w:rFonts w:ascii="Palatino Linotype" w:hAnsi="Palatino Linotype" w:cs="Arial"/>
        </w:rPr>
      </w:pPr>
    </w:p>
    <w:p w14:paraId="2CD831F4" w14:textId="58C0757D" w:rsidR="007B282D" w:rsidRDefault="00BD7CD9"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69504" behindDoc="1" locked="0" layoutInCell="1" allowOverlap="1" wp14:anchorId="6163D571" wp14:editId="65D23265">
            <wp:simplePos x="0" y="0"/>
            <wp:positionH relativeFrom="margin">
              <wp:posOffset>369688</wp:posOffset>
            </wp:positionH>
            <wp:positionV relativeFrom="paragraph">
              <wp:posOffset>221199</wp:posOffset>
            </wp:positionV>
            <wp:extent cx="5414010" cy="2884868"/>
            <wp:effectExtent l="19050" t="19050" r="15240" b="1079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010" cy="2884868"/>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B217EE1" w14:textId="06D2897A" w:rsidR="007B282D" w:rsidRDefault="007B282D" w:rsidP="00DF1EDA">
      <w:pPr>
        <w:spacing w:before="240" w:after="240" w:line="360" w:lineRule="auto"/>
        <w:contextualSpacing/>
        <w:jc w:val="both"/>
        <w:rPr>
          <w:rFonts w:ascii="Palatino Linotype" w:hAnsi="Palatino Linotype" w:cs="Arial"/>
        </w:rPr>
      </w:pPr>
    </w:p>
    <w:p w14:paraId="1F0D3663" w14:textId="08F92300" w:rsidR="007B282D" w:rsidRDefault="007B282D" w:rsidP="00DF1EDA">
      <w:pPr>
        <w:spacing w:before="240" w:after="240" w:line="360" w:lineRule="auto"/>
        <w:contextualSpacing/>
        <w:jc w:val="both"/>
        <w:rPr>
          <w:rFonts w:ascii="Palatino Linotype" w:hAnsi="Palatino Linotype" w:cs="Arial"/>
        </w:rPr>
      </w:pPr>
    </w:p>
    <w:p w14:paraId="58EC3F3B" w14:textId="08321289" w:rsidR="007B282D" w:rsidRDefault="007B282D" w:rsidP="00DF1EDA">
      <w:pPr>
        <w:spacing w:before="240" w:after="240" w:line="360" w:lineRule="auto"/>
        <w:contextualSpacing/>
        <w:jc w:val="both"/>
        <w:rPr>
          <w:rFonts w:ascii="Palatino Linotype" w:hAnsi="Palatino Linotype" w:cs="Arial"/>
        </w:rPr>
      </w:pPr>
    </w:p>
    <w:p w14:paraId="7A4292A9" w14:textId="77777777" w:rsidR="007B282D" w:rsidRDefault="007B282D" w:rsidP="00DF1EDA">
      <w:pPr>
        <w:spacing w:before="240" w:after="240" w:line="360" w:lineRule="auto"/>
        <w:contextualSpacing/>
        <w:jc w:val="both"/>
        <w:rPr>
          <w:rFonts w:ascii="Palatino Linotype" w:hAnsi="Palatino Linotype" w:cs="Arial"/>
        </w:rPr>
      </w:pPr>
    </w:p>
    <w:p w14:paraId="670145D8" w14:textId="77777777" w:rsidR="007B282D" w:rsidRDefault="007B282D" w:rsidP="00DF1EDA">
      <w:pPr>
        <w:spacing w:before="240" w:after="240" w:line="360" w:lineRule="auto"/>
        <w:contextualSpacing/>
        <w:jc w:val="both"/>
        <w:rPr>
          <w:rFonts w:ascii="Palatino Linotype" w:hAnsi="Palatino Linotype" w:cs="Arial"/>
        </w:rPr>
      </w:pPr>
    </w:p>
    <w:p w14:paraId="36E15167" w14:textId="575BD8F0" w:rsidR="007B282D" w:rsidRDefault="007B282D" w:rsidP="00DF1EDA">
      <w:pPr>
        <w:spacing w:before="240" w:after="240" w:line="360" w:lineRule="auto"/>
        <w:contextualSpacing/>
        <w:jc w:val="both"/>
        <w:rPr>
          <w:rFonts w:ascii="Palatino Linotype" w:hAnsi="Palatino Linotype" w:cs="Arial"/>
        </w:rPr>
      </w:pPr>
    </w:p>
    <w:p w14:paraId="7CFC9F67" w14:textId="54FEDD9F" w:rsidR="007B282D" w:rsidRDefault="007B282D" w:rsidP="00DF1EDA">
      <w:pPr>
        <w:spacing w:before="240" w:after="240" w:line="360" w:lineRule="auto"/>
        <w:contextualSpacing/>
        <w:jc w:val="both"/>
        <w:rPr>
          <w:rFonts w:ascii="Palatino Linotype" w:hAnsi="Palatino Linotype" w:cs="Arial"/>
        </w:rPr>
      </w:pPr>
    </w:p>
    <w:p w14:paraId="5BDA7B2D" w14:textId="7533B73D" w:rsidR="007B282D" w:rsidRDefault="007B282D" w:rsidP="00DF1EDA">
      <w:pPr>
        <w:spacing w:before="240" w:after="240" w:line="360" w:lineRule="auto"/>
        <w:contextualSpacing/>
        <w:jc w:val="both"/>
        <w:rPr>
          <w:rFonts w:ascii="Palatino Linotype" w:hAnsi="Palatino Linotype" w:cs="Arial"/>
        </w:rPr>
      </w:pPr>
    </w:p>
    <w:p w14:paraId="7FB9C4D8" w14:textId="164E0F39" w:rsidR="007B282D" w:rsidRDefault="007B282D" w:rsidP="00DF1EDA">
      <w:pPr>
        <w:spacing w:before="240" w:after="240" w:line="360" w:lineRule="auto"/>
        <w:contextualSpacing/>
        <w:jc w:val="both"/>
        <w:rPr>
          <w:rFonts w:ascii="Palatino Linotype" w:hAnsi="Palatino Linotype" w:cs="Arial"/>
        </w:rPr>
      </w:pPr>
    </w:p>
    <w:p w14:paraId="14C188C9" w14:textId="4BAAAA84" w:rsidR="007B282D" w:rsidRDefault="00BD7CD9" w:rsidP="00DF1EDA">
      <w:pPr>
        <w:spacing w:before="240" w:after="240" w:line="360" w:lineRule="auto"/>
        <w:contextualSpacing/>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71552" behindDoc="1" locked="0" layoutInCell="1" allowOverlap="1" wp14:anchorId="35FAD8BC" wp14:editId="220E410C">
            <wp:simplePos x="0" y="0"/>
            <wp:positionH relativeFrom="page">
              <wp:posOffset>1412021</wp:posOffset>
            </wp:positionH>
            <wp:positionV relativeFrom="paragraph">
              <wp:posOffset>302173</wp:posOffset>
            </wp:positionV>
            <wp:extent cx="5414010" cy="1390918"/>
            <wp:effectExtent l="19050" t="19050" r="15240" b="190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15" b="54358"/>
                    <a:stretch/>
                  </pic:blipFill>
                  <pic:spPr bwMode="auto">
                    <a:xfrm>
                      <a:off x="0" y="0"/>
                      <a:ext cx="5414010" cy="1390918"/>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A9334D" w14:textId="6CA55855" w:rsidR="007B282D" w:rsidRDefault="007B282D" w:rsidP="00DF1EDA">
      <w:pPr>
        <w:spacing w:before="240" w:after="240" w:line="360" w:lineRule="auto"/>
        <w:contextualSpacing/>
        <w:jc w:val="both"/>
        <w:rPr>
          <w:rFonts w:ascii="Palatino Linotype" w:hAnsi="Palatino Linotype" w:cs="Arial"/>
        </w:rPr>
      </w:pPr>
    </w:p>
    <w:p w14:paraId="06005AD8" w14:textId="6C0D5B16" w:rsidR="007B282D" w:rsidRDefault="007B282D" w:rsidP="007B282D">
      <w:pPr>
        <w:autoSpaceDE w:val="0"/>
        <w:autoSpaceDN w:val="0"/>
        <w:adjustRightInd w:val="0"/>
        <w:spacing w:before="240" w:line="360" w:lineRule="auto"/>
        <w:jc w:val="both"/>
        <w:rPr>
          <w:rFonts w:ascii="Palatino Linotype" w:hAnsi="Palatino Linotype" w:cs="Arial"/>
        </w:rPr>
      </w:pPr>
    </w:p>
    <w:p w14:paraId="56A9B183" w14:textId="4675F75B" w:rsidR="007B282D" w:rsidRDefault="007B282D" w:rsidP="007B282D">
      <w:pPr>
        <w:autoSpaceDE w:val="0"/>
        <w:autoSpaceDN w:val="0"/>
        <w:adjustRightInd w:val="0"/>
        <w:spacing w:before="240" w:line="360" w:lineRule="auto"/>
        <w:jc w:val="both"/>
        <w:rPr>
          <w:rFonts w:ascii="Palatino Linotype" w:hAnsi="Palatino Linotype" w:cs="Arial"/>
        </w:rPr>
      </w:pPr>
    </w:p>
    <w:p w14:paraId="470BCC66" w14:textId="3FFD8552" w:rsidR="007B282D" w:rsidRDefault="007B282D" w:rsidP="007B282D">
      <w:pPr>
        <w:autoSpaceDE w:val="0"/>
        <w:autoSpaceDN w:val="0"/>
        <w:adjustRightInd w:val="0"/>
        <w:spacing w:before="240" w:line="360" w:lineRule="auto"/>
        <w:jc w:val="both"/>
        <w:rPr>
          <w:rFonts w:ascii="Palatino Linotype" w:hAnsi="Palatino Linotype" w:cs="Arial"/>
        </w:rPr>
      </w:pPr>
    </w:p>
    <w:p w14:paraId="2AAD4EC8" w14:textId="4A64FB26" w:rsidR="007B282D" w:rsidRDefault="007B282D" w:rsidP="007B282D">
      <w:pPr>
        <w:autoSpaceDE w:val="0"/>
        <w:autoSpaceDN w:val="0"/>
        <w:adjustRightInd w:val="0"/>
        <w:spacing w:before="240" w:line="360" w:lineRule="auto"/>
        <w:jc w:val="both"/>
        <w:rPr>
          <w:rFonts w:ascii="Palatino Linotype" w:hAnsi="Palatino Linotype" w:cs="Arial"/>
        </w:rPr>
      </w:pPr>
    </w:p>
    <w:p w14:paraId="5FB0C896" w14:textId="5048674D" w:rsidR="007B282D" w:rsidRDefault="00BD7CD9" w:rsidP="007B282D">
      <w:pPr>
        <w:autoSpaceDE w:val="0"/>
        <w:autoSpaceDN w:val="0"/>
        <w:adjustRightInd w:val="0"/>
        <w:spacing w:before="240" w:line="360" w:lineRule="auto"/>
        <w:jc w:val="both"/>
        <w:rPr>
          <w:rFonts w:ascii="Palatino Linotype" w:hAnsi="Palatino Linotype" w:cs="Arial"/>
        </w:rPr>
      </w:pPr>
      <w:r>
        <w:rPr>
          <w:noProof/>
          <w:lang w:val="es-MX" w:eastAsia="es-MX"/>
        </w:rPr>
        <w:lastRenderedPageBreak/>
        <w:drawing>
          <wp:anchor distT="0" distB="0" distL="114300" distR="114300" simplePos="0" relativeHeight="251675648" behindDoc="1" locked="0" layoutInCell="1" allowOverlap="1" wp14:anchorId="2926008B" wp14:editId="7AEC2106">
            <wp:simplePos x="0" y="0"/>
            <wp:positionH relativeFrom="margin">
              <wp:align>left</wp:align>
            </wp:positionH>
            <wp:positionV relativeFrom="paragraph">
              <wp:posOffset>-25969</wp:posOffset>
            </wp:positionV>
            <wp:extent cx="5454475" cy="1778000"/>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454475" cy="1778000"/>
                    </a:xfrm>
                    <a:prstGeom prst="rect">
                      <a:avLst/>
                    </a:prstGeom>
                  </pic:spPr>
                </pic:pic>
              </a:graphicData>
            </a:graphic>
            <wp14:sizeRelH relativeFrom="margin">
              <wp14:pctWidth>0</wp14:pctWidth>
            </wp14:sizeRelH>
          </wp:anchor>
        </w:drawing>
      </w:r>
      <w:r w:rsidR="007B282D">
        <w:rPr>
          <w:rFonts w:ascii="Palatino Linotype" w:hAnsi="Palatino Linotype" w:cs="Arial"/>
        </w:rPr>
        <w:t xml:space="preserve"> </w:t>
      </w:r>
    </w:p>
    <w:p w14:paraId="1F08B937" w14:textId="328C6D43" w:rsidR="009F0EDE" w:rsidRDefault="009F0EDE" w:rsidP="007B282D">
      <w:pPr>
        <w:autoSpaceDE w:val="0"/>
        <w:autoSpaceDN w:val="0"/>
        <w:adjustRightInd w:val="0"/>
        <w:spacing w:before="240" w:line="360" w:lineRule="auto"/>
        <w:jc w:val="both"/>
        <w:rPr>
          <w:rFonts w:ascii="Palatino Linotype" w:hAnsi="Palatino Linotype" w:cs="Arial"/>
        </w:rPr>
      </w:pPr>
    </w:p>
    <w:p w14:paraId="7B5DE211" w14:textId="0FB8C1B0" w:rsidR="00BD7CD9" w:rsidRDefault="00BD7CD9" w:rsidP="007B282D">
      <w:pPr>
        <w:autoSpaceDE w:val="0"/>
        <w:autoSpaceDN w:val="0"/>
        <w:adjustRightInd w:val="0"/>
        <w:spacing w:before="240" w:line="360" w:lineRule="auto"/>
        <w:jc w:val="both"/>
        <w:rPr>
          <w:rFonts w:ascii="Palatino Linotype" w:hAnsi="Palatino Linotype" w:cs="Arial"/>
        </w:rPr>
      </w:pPr>
    </w:p>
    <w:p w14:paraId="5BB6B164" w14:textId="5C48CE6F" w:rsidR="00BD7CD9" w:rsidRDefault="00BD7CD9" w:rsidP="007B282D">
      <w:pPr>
        <w:autoSpaceDE w:val="0"/>
        <w:autoSpaceDN w:val="0"/>
        <w:adjustRightInd w:val="0"/>
        <w:spacing w:before="240" w:line="360" w:lineRule="auto"/>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73600" behindDoc="0" locked="0" layoutInCell="1" allowOverlap="1" wp14:anchorId="65F1B087" wp14:editId="3DF2159A">
            <wp:simplePos x="0" y="0"/>
            <wp:positionH relativeFrom="margin">
              <wp:align>left</wp:align>
            </wp:positionH>
            <wp:positionV relativeFrom="paragraph">
              <wp:posOffset>648401</wp:posOffset>
            </wp:positionV>
            <wp:extent cx="5414010" cy="3149600"/>
            <wp:effectExtent l="19050" t="19050" r="15240" b="12700"/>
            <wp:wrapThrough wrapText="bothSides">
              <wp:wrapPolygon edited="0">
                <wp:start x="-76" y="-131"/>
                <wp:lineTo x="-76" y="21556"/>
                <wp:lineTo x="21585" y="21556"/>
                <wp:lineTo x="21585" y="-131"/>
                <wp:lineTo x="-76" y="-131"/>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010" cy="3149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AC0360D" w14:textId="70245C33" w:rsidR="00BD7CD9" w:rsidRDefault="00BD7CD9" w:rsidP="007B282D">
      <w:pPr>
        <w:autoSpaceDE w:val="0"/>
        <w:autoSpaceDN w:val="0"/>
        <w:adjustRightInd w:val="0"/>
        <w:spacing w:before="240" w:line="360" w:lineRule="auto"/>
        <w:jc w:val="both"/>
        <w:rPr>
          <w:rFonts w:ascii="Palatino Linotype" w:hAnsi="Palatino Linotype" w:cs="Arial"/>
        </w:rPr>
      </w:pPr>
      <w:r>
        <w:rPr>
          <w:rFonts w:asciiTheme="minorHAnsi" w:hAnsiTheme="minorHAnsi" w:cstheme="minorBidi"/>
          <w:noProof/>
          <w:sz w:val="22"/>
          <w:szCs w:val="22"/>
          <w:lang w:val="es-MX" w:eastAsia="es-MX"/>
        </w:rPr>
        <w:drawing>
          <wp:anchor distT="0" distB="0" distL="114300" distR="114300" simplePos="0" relativeHeight="251674624" behindDoc="1" locked="0" layoutInCell="1" allowOverlap="1" wp14:anchorId="6D6F5422" wp14:editId="28A59567">
            <wp:simplePos x="0" y="0"/>
            <wp:positionH relativeFrom="margin">
              <wp:align>left</wp:align>
            </wp:positionH>
            <wp:positionV relativeFrom="paragraph">
              <wp:posOffset>3584575</wp:posOffset>
            </wp:positionV>
            <wp:extent cx="5414010" cy="1569085"/>
            <wp:effectExtent l="19050" t="19050" r="15240" b="1206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rotWithShape="1">
                    <a:blip r:embed="rId13">
                      <a:extLst>
                        <a:ext uri="{28A0092B-C50C-407E-A947-70E740481C1C}">
                          <a14:useLocalDpi xmlns:a14="http://schemas.microsoft.com/office/drawing/2010/main" val="0"/>
                        </a:ext>
                      </a:extLst>
                    </a:blip>
                    <a:srcRect t="10615" b="54358"/>
                    <a:stretch/>
                  </pic:blipFill>
                  <pic:spPr bwMode="auto">
                    <a:xfrm>
                      <a:off x="0" y="0"/>
                      <a:ext cx="5414010" cy="1569085"/>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E659B5" w14:textId="7C914609" w:rsidR="00BD7CD9" w:rsidRDefault="00BD7CD9" w:rsidP="007B282D">
      <w:pPr>
        <w:autoSpaceDE w:val="0"/>
        <w:autoSpaceDN w:val="0"/>
        <w:adjustRightInd w:val="0"/>
        <w:spacing w:before="240" w:line="360" w:lineRule="auto"/>
        <w:jc w:val="both"/>
        <w:rPr>
          <w:rFonts w:ascii="Palatino Linotype" w:hAnsi="Palatino Linotype" w:cs="Arial"/>
        </w:rPr>
      </w:pPr>
    </w:p>
    <w:p w14:paraId="658D1D27" w14:textId="1F9F6C3C" w:rsidR="00BD7CD9" w:rsidRDefault="00BD7CD9" w:rsidP="007B282D">
      <w:pPr>
        <w:autoSpaceDE w:val="0"/>
        <w:autoSpaceDN w:val="0"/>
        <w:adjustRightInd w:val="0"/>
        <w:spacing w:before="240" w:line="360" w:lineRule="auto"/>
        <w:jc w:val="both"/>
        <w:rPr>
          <w:rFonts w:ascii="Palatino Linotype" w:hAnsi="Palatino Linotype" w:cs="Arial"/>
        </w:rPr>
      </w:pPr>
    </w:p>
    <w:p w14:paraId="0474BD3D" w14:textId="2C75A594" w:rsidR="00BD7CD9" w:rsidRDefault="00BD7CD9" w:rsidP="007B282D">
      <w:pPr>
        <w:autoSpaceDE w:val="0"/>
        <w:autoSpaceDN w:val="0"/>
        <w:adjustRightInd w:val="0"/>
        <w:spacing w:before="240" w:line="360" w:lineRule="auto"/>
        <w:jc w:val="both"/>
        <w:rPr>
          <w:rFonts w:ascii="Palatino Linotype" w:hAnsi="Palatino Linotype" w:cs="Arial"/>
        </w:rPr>
      </w:pPr>
    </w:p>
    <w:p w14:paraId="2A654DE5" w14:textId="1BDB3A37" w:rsidR="007B282D" w:rsidRDefault="007B282D" w:rsidP="007B282D">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lastRenderedPageBreak/>
        <w:t xml:space="preserve">En virtud de lo anterior, se acredita que el </w:t>
      </w:r>
      <w:r>
        <w:rPr>
          <w:rFonts w:ascii="Palatino Linotype" w:hAnsi="Palatino Linotype" w:cs="Arial"/>
          <w:b/>
        </w:rPr>
        <w:t>Sujeto Obligado</w:t>
      </w:r>
      <w:r>
        <w:rPr>
          <w:rFonts w:ascii="Palatino Linotype" w:hAnsi="Palatino Linotype" w:cs="Arial"/>
        </w:rPr>
        <w:t>, debió generar, administrar o poseer l</w:t>
      </w:r>
      <w:r w:rsidR="009A136C">
        <w:rPr>
          <w:rFonts w:ascii="Palatino Linotype" w:hAnsi="Palatino Linotype" w:cs="Arial"/>
        </w:rPr>
        <w:t xml:space="preserve">os datos de nómina mensuales del Presidente, Sindico y Regidores del Municipio de </w:t>
      </w:r>
      <w:proofErr w:type="spellStart"/>
      <w:r w:rsidR="009A136C">
        <w:rPr>
          <w:rFonts w:ascii="Palatino Linotype" w:hAnsi="Palatino Linotype" w:cs="Arial"/>
        </w:rPr>
        <w:t>Nopaltepec</w:t>
      </w:r>
      <w:proofErr w:type="spellEnd"/>
      <w:r>
        <w:rPr>
          <w:rFonts w:ascii="Palatino Linotype" w:hAnsi="Palatino Linotype" w:cs="Arial"/>
        </w:rPr>
        <w:t xml:space="preserve">; máxime que debió entregar los informes mensuales al Órgano Superior de Fiscalización del Estado de México de conformidad con el artículo 32 de la Ley de Fiscalización Superior del Estado de México y 350 del Código Financiero del Estado de México, respecto de la </w:t>
      </w:r>
      <w:r w:rsidRPr="003B3CED">
        <w:rPr>
          <w:rFonts w:ascii="Palatino Linotype" w:hAnsi="Palatino Linotype" w:cs="Arial"/>
        </w:rPr>
        <w:t>nómina</w:t>
      </w:r>
      <w:r>
        <w:rPr>
          <w:rFonts w:ascii="Palatino Linotype" w:hAnsi="Palatino Linotype" w:cs="Arial"/>
        </w:rPr>
        <w:t xml:space="preserve">, en consecuencia, la información solicitada por </w:t>
      </w:r>
      <w:r>
        <w:rPr>
          <w:rFonts w:ascii="Palatino Linotype" w:hAnsi="Palatino Linotype" w:cs="Arial"/>
          <w:b/>
        </w:rPr>
        <w:t xml:space="preserve">el Recurrente </w:t>
      </w:r>
      <w:r>
        <w:rPr>
          <w:rFonts w:ascii="Palatino Linotype" w:hAnsi="Palatino Linotype" w:cs="Arial"/>
        </w:rPr>
        <w:t xml:space="preserve">debe obrar en los archivos del </w:t>
      </w:r>
      <w:r>
        <w:rPr>
          <w:rFonts w:ascii="Palatino Linotype" w:hAnsi="Palatino Linotype" w:cs="Arial"/>
          <w:b/>
        </w:rPr>
        <w:t>Sujeto Obligado</w:t>
      </w:r>
      <w:r>
        <w:rPr>
          <w:rFonts w:ascii="Palatino Linotype" w:hAnsi="Palatino Linotype" w:cs="Arial"/>
        </w:rPr>
        <w:t>.</w:t>
      </w:r>
    </w:p>
    <w:p w14:paraId="7921F838" w14:textId="77777777" w:rsidR="007B282D" w:rsidRDefault="007B282D" w:rsidP="00DF1EDA">
      <w:pPr>
        <w:spacing w:before="240" w:after="240" w:line="360" w:lineRule="auto"/>
        <w:contextualSpacing/>
        <w:jc w:val="both"/>
        <w:rPr>
          <w:rFonts w:ascii="Palatino Linotype" w:hAnsi="Palatino Linotype" w:cs="Arial"/>
        </w:rPr>
      </w:pPr>
    </w:p>
    <w:p w14:paraId="3EB73129" w14:textId="76C5FD19" w:rsidR="00B0036A" w:rsidRDefault="00B0036A" w:rsidP="00B0036A">
      <w:pPr>
        <w:autoSpaceDE w:val="0"/>
        <w:autoSpaceDN w:val="0"/>
        <w:adjustRightInd w:val="0"/>
        <w:spacing w:before="240" w:after="240" w:line="360" w:lineRule="auto"/>
        <w:contextualSpacing/>
        <w:jc w:val="both"/>
        <w:rPr>
          <w:rFonts w:ascii="Palatino Linotype" w:eastAsiaTheme="minorHAnsi" w:hAnsi="Palatino Linotype" w:cs="Bookman Old Style"/>
          <w:lang w:val="es-MX" w:eastAsia="en-US"/>
        </w:rPr>
      </w:pPr>
      <w:r>
        <w:rPr>
          <w:rFonts w:ascii="Palatino Linotype" w:hAnsi="Palatino Linotype" w:cs="Arial"/>
        </w:rPr>
        <w:t xml:space="preserve">No pasa desapercibido para éste </w:t>
      </w:r>
      <w:r w:rsidR="009A136C">
        <w:rPr>
          <w:rFonts w:ascii="Palatino Linotype" w:hAnsi="Palatino Linotype" w:cs="Arial"/>
        </w:rPr>
        <w:t>Órgano Garante</w:t>
      </w:r>
      <w:r w:rsidRPr="009D60D2">
        <w:rPr>
          <w:rFonts w:ascii="Palatino Linotype" w:hAnsi="Palatino Linotype" w:cs="Arial"/>
        </w:rPr>
        <w:t xml:space="preserve">, que el particular solicitó </w:t>
      </w:r>
      <w:r w:rsidR="009A136C">
        <w:rPr>
          <w:rFonts w:ascii="Palatino Linotype" w:hAnsi="Palatino Linotype" w:cs="Arial"/>
        </w:rPr>
        <w:t xml:space="preserve">de </w:t>
      </w:r>
      <w:r w:rsidRPr="009D60D2">
        <w:rPr>
          <w:rFonts w:ascii="Palatino Linotype" w:hAnsi="Palatino Linotype" w:cs="Arial"/>
        </w:rPr>
        <w:t xml:space="preserve">la nómina, </w:t>
      </w:r>
      <w:r w:rsidR="009A136C">
        <w:rPr>
          <w:rFonts w:ascii="Palatino Linotype" w:hAnsi="Palatino Linotype" w:cs="Arial"/>
        </w:rPr>
        <w:t>únicamente lo que se refiere a las percepciones brutas y netas</w:t>
      </w:r>
      <w:r w:rsidR="009F0EDE">
        <w:rPr>
          <w:rFonts w:ascii="Palatino Linotype" w:hAnsi="Palatino Linotype" w:cs="Arial"/>
        </w:rPr>
        <w:t xml:space="preserve"> de los meses de septiembre y octubre</w:t>
      </w:r>
      <w:r w:rsidR="00930747">
        <w:rPr>
          <w:rFonts w:ascii="Palatino Linotype" w:hAnsi="Palatino Linotype" w:cs="Arial"/>
        </w:rPr>
        <w:t xml:space="preserve"> del año dos mil dieciocho</w:t>
      </w:r>
      <w:r>
        <w:rPr>
          <w:rFonts w:ascii="Palatino Linotype" w:hAnsi="Palatino Linotype" w:cs="Arial"/>
          <w:lang w:eastAsia="es-MX"/>
        </w:rPr>
        <w:t>, por lo que vale la pena hacer alusión a lo dispuesto en el artículo 12 de la Ley de la Materia, en el que se dispone que los</w:t>
      </w:r>
      <w:r>
        <w:rPr>
          <w:rFonts w:ascii="Palatino Linotype" w:eastAsiaTheme="minorHAnsi" w:hAnsi="Palatino Linotype" w:cs="Bookman Old Style"/>
          <w:lang w:val="es-MX" w:eastAsia="en-US"/>
        </w:rPr>
        <w:t xml:space="preserve"> sujetos obligados sólo proporcionarán la información pública que se les requiera y que obre en sus archivos y </w:t>
      </w:r>
      <w:r>
        <w:rPr>
          <w:rFonts w:ascii="Palatino Linotype" w:eastAsiaTheme="minorHAnsi" w:hAnsi="Palatino Linotype" w:cs="Bookman Old Style"/>
          <w:b/>
          <w:lang w:val="es-MX" w:eastAsia="en-US"/>
        </w:rPr>
        <w:t>en el estado en que ésta se encuentre</w:t>
      </w:r>
      <w:r>
        <w:rPr>
          <w:rFonts w:ascii="Palatino Linotype" w:eastAsiaTheme="minorHAnsi" w:hAnsi="Palatino Linotype" w:cs="Bookman Old Style"/>
          <w:lang w:val="es-MX" w:eastAsia="en-US"/>
        </w:rPr>
        <w:t>.</w:t>
      </w:r>
      <w:r>
        <w:rPr>
          <w:rFonts w:ascii="Palatino Linotype" w:hAnsi="Palatino Linotype" w:cs="Arial"/>
          <w:color w:val="222222"/>
          <w:lang w:eastAsia="es-MX"/>
        </w:rPr>
        <w:t xml:space="preserve"> </w:t>
      </w:r>
      <w:r>
        <w:rPr>
          <w:rFonts w:ascii="Palatino Linotype" w:eastAsiaTheme="minorHAnsi" w:hAnsi="Palatino Linotype" w:cs="Bookman Old Style"/>
          <w:lang w:val="es-MX" w:eastAsia="en-US"/>
        </w:rPr>
        <w:t>La obligación de proporcionar información no comprende el procesamiento de la misma, ni el presentarla conforme al interés del solicitante.</w:t>
      </w:r>
    </w:p>
    <w:p w14:paraId="7E32A88A" w14:textId="77777777" w:rsidR="009A136C" w:rsidRDefault="009A136C" w:rsidP="00B0036A">
      <w:pPr>
        <w:autoSpaceDE w:val="0"/>
        <w:autoSpaceDN w:val="0"/>
        <w:adjustRightInd w:val="0"/>
        <w:spacing w:before="240" w:after="240" w:line="360" w:lineRule="auto"/>
        <w:contextualSpacing/>
        <w:jc w:val="both"/>
        <w:rPr>
          <w:rFonts w:ascii="Palatino Linotype" w:eastAsiaTheme="minorHAnsi" w:hAnsi="Palatino Linotype" w:cs="Bookman Old Style"/>
          <w:lang w:val="es-MX" w:eastAsia="en-US"/>
        </w:rPr>
      </w:pPr>
    </w:p>
    <w:p w14:paraId="14E5B4A9" w14:textId="77777777" w:rsidR="00B0036A" w:rsidRDefault="00B0036A" w:rsidP="00B0036A">
      <w:pPr>
        <w:shd w:val="clear" w:color="auto" w:fill="FFFFFF"/>
        <w:spacing w:before="240" w:after="240" w:line="360" w:lineRule="auto"/>
        <w:contextualSpacing/>
        <w:jc w:val="both"/>
        <w:rPr>
          <w:rFonts w:ascii="Palatino Linotype" w:hAnsi="Palatino Linotype" w:cs="Arial"/>
          <w:szCs w:val="19"/>
          <w:lang w:eastAsia="es-MX"/>
        </w:rPr>
      </w:pPr>
      <w:r>
        <w:rPr>
          <w:rFonts w:ascii="Palatino Linotype" w:eastAsiaTheme="minorHAnsi" w:hAnsi="Palatino Linotype" w:cs="Bookman Old Style"/>
          <w:lang w:val="es-MX" w:eastAsia="en-US"/>
        </w:rPr>
        <w:t xml:space="preserve">Razón por la cual, los Sujeto Obligado no están constreñidos a generar, resumir, efectuar cálculos o practicar investigaciones con motivo de las solicitudes de acceso a la información, su obligación se limita a entregar la información que se encuentra en sus archivos al ser </w:t>
      </w:r>
      <w:r>
        <w:rPr>
          <w:rFonts w:ascii="Palatino Linotype" w:hAnsi="Palatino Linotype" w:cs="Arial"/>
          <w:szCs w:val="19"/>
          <w:lang w:eastAsia="es-MX"/>
        </w:rPr>
        <w:t>un derecho de acceso a documentos; es decir, no están obligados a generar un documento ad hoc.</w:t>
      </w:r>
    </w:p>
    <w:p w14:paraId="4120390E" w14:textId="77777777" w:rsidR="00B0036A" w:rsidRDefault="00B0036A" w:rsidP="00B0036A">
      <w:pPr>
        <w:spacing w:before="240" w:after="240" w:line="360" w:lineRule="auto"/>
        <w:ind w:right="51"/>
        <w:contextualSpacing/>
        <w:jc w:val="both"/>
        <w:rPr>
          <w:rFonts w:ascii="Palatino Linotype" w:hAnsi="Palatino Linotype" w:cs="Arial"/>
          <w:lang w:eastAsia="es-MX"/>
        </w:rPr>
      </w:pPr>
    </w:p>
    <w:p w14:paraId="1A4DE7E3" w14:textId="77777777" w:rsidR="00B0036A" w:rsidRDefault="00B0036A" w:rsidP="00B0036A">
      <w:pPr>
        <w:spacing w:line="360" w:lineRule="auto"/>
        <w:jc w:val="both"/>
        <w:rPr>
          <w:rFonts w:ascii="Palatino Linotype" w:hAnsi="Palatino Linotype"/>
          <w:b/>
          <w:bCs/>
          <w:color w:val="000000"/>
        </w:rPr>
      </w:pPr>
      <w:r>
        <w:rPr>
          <w:rFonts w:ascii="Palatino Linotype" w:hAnsi="Palatino Linotype" w:cs="Arial"/>
          <w:color w:val="000000"/>
        </w:rPr>
        <w:lastRenderedPageBreak/>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39C59EF8" w14:textId="77777777" w:rsidR="00B0036A" w:rsidRDefault="00B0036A" w:rsidP="00B0036A">
      <w:pPr>
        <w:ind w:left="851" w:right="850"/>
        <w:jc w:val="both"/>
        <w:rPr>
          <w:rFonts w:ascii="Palatino Linotype" w:hAnsi="Palatino Linotype" w:cs="Arial"/>
          <w:color w:val="000000"/>
        </w:rPr>
      </w:pPr>
    </w:p>
    <w:p w14:paraId="6D707013"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887CE5"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14:paraId="482C178F"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5E90B5E5"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709EF013" w14:textId="77777777" w:rsidR="00B0036A" w:rsidRDefault="00B0036A" w:rsidP="00B0036A">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0C39A3CF" w14:textId="77777777" w:rsidR="00B0036A" w:rsidRDefault="00B0036A" w:rsidP="00B0036A">
      <w:pPr>
        <w:spacing w:before="240" w:after="240" w:line="360" w:lineRule="auto"/>
        <w:ind w:right="51"/>
        <w:contextualSpacing/>
        <w:jc w:val="both"/>
        <w:rPr>
          <w:rFonts w:ascii="Palatino Linotype" w:hAnsi="Palatino Linotype" w:cs="Arial"/>
          <w:lang w:eastAsia="es-MX"/>
        </w:rPr>
      </w:pPr>
    </w:p>
    <w:p w14:paraId="05641AC0" w14:textId="223BEAB4" w:rsidR="004B7864" w:rsidRDefault="00B0036A" w:rsidP="009A136C">
      <w:pPr>
        <w:spacing w:before="240" w:after="240" w:line="360" w:lineRule="auto"/>
        <w:ind w:right="51"/>
        <w:contextualSpacing/>
        <w:jc w:val="both"/>
        <w:rPr>
          <w:rFonts w:ascii="Palatino Linotype" w:hAnsi="Palatino Linotype" w:cs="Arial"/>
        </w:rPr>
      </w:pPr>
      <w:r w:rsidRPr="00B135B8">
        <w:rPr>
          <w:rFonts w:ascii="Palatino Linotype" w:hAnsi="Palatino Linotype" w:cs="Arial"/>
          <w:lang w:eastAsia="es-MX"/>
        </w:rPr>
        <w:t xml:space="preserve">En resumen </w:t>
      </w:r>
      <w:r w:rsidR="009A136C">
        <w:rPr>
          <w:rFonts w:ascii="Palatino Linotype" w:hAnsi="Palatino Linotype" w:cs="Arial"/>
          <w:lang w:eastAsia="es-MX"/>
        </w:rPr>
        <w:t xml:space="preserve">los datos de nómina solicitados son </w:t>
      </w:r>
      <w:r w:rsidRPr="00B135B8">
        <w:rPr>
          <w:rFonts w:ascii="Palatino Linotype" w:hAnsi="Palatino Linotype" w:cs="Arial"/>
          <w:lang w:eastAsia="es-MX"/>
        </w:rPr>
        <w:t xml:space="preserve">información que el Ayuntamiento de </w:t>
      </w:r>
      <w:proofErr w:type="spellStart"/>
      <w:r w:rsidR="009A136C">
        <w:rPr>
          <w:rFonts w:ascii="Palatino Linotype" w:hAnsi="Palatino Linotype" w:cs="Arial"/>
          <w:lang w:eastAsia="es-MX"/>
        </w:rPr>
        <w:t>Nopaltepec</w:t>
      </w:r>
      <w:proofErr w:type="spellEnd"/>
      <w:r>
        <w:rPr>
          <w:rFonts w:ascii="Palatino Linotype" w:hAnsi="Palatino Linotype" w:cs="Arial"/>
          <w:lang w:eastAsia="es-MX"/>
        </w:rPr>
        <w:t xml:space="preserve"> debió haber</w:t>
      </w:r>
      <w:r w:rsidRPr="00B135B8">
        <w:rPr>
          <w:rFonts w:ascii="Palatino Linotype" w:hAnsi="Palatino Linotype" w:cs="Arial"/>
          <w:b/>
          <w:lang w:eastAsia="es-MX"/>
        </w:rPr>
        <w:t xml:space="preserve"> </w:t>
      </w:r>
      <w:r>
        <w:rPr>
          <w:rFonts w:ascii="Palatino Linotype" w:hAnsi="Palatino Linotype" w:cs="Arial"/>
          <w:lang w:eastAsia="es-MX"/>
        </w:rPr>
        <w:t>generado, administrado o poseído</w:t>
      </w:r>
      <w:r w:rsidRPr="00B135B8">
        <w:rPr>
          <w:rFonts w:ascii="Palatino Linotype" w:hAnsi="Palatino Linotype" w:cs="Arial"/>
          <w:lang w:eastAsia="es-MX"/>
        </w:rPr>
        <w:t xml:space="preserve">, de acuerdo a lo establecido en el presente considerando; </w:t>
      </w:r>
      <w:r w:rsidRPr="00B135B8">
        <w:rPr>
          <w:rFonts w:ascii="Palatino Linotype" w:hAnsi="Palatino Linotype" w:cs="Arial"/>
        </w:rPr>
        <w:t>por lo q</w:t>
      </w:r>
      <w:r>
        <w:rPr>
          <w:rFonts w:ascii="Palatino Linotype" w:hAnsi="Palatino Linotype" w:cs="Arial"/>
        </w:rPr>
        <w:t xml:space="preserve">ue resulta procedente ordenar al Sujeto Obligado su entrega al mayor grado de desagregación posible salvaguardando los datos personales que contenga, de conformidad con el considerando quinto. Sin soslayar, que para el caso de que no obre en los archivos del </w:t>
      </w:r>
      <w:r>
        <w:rPr>
          <w:rFonts w:ascii="Palatino Linotype" w:hAnsi="Palatino Linotype" w:cs="Arial"/>
          <w:b/>
          <w:lang w:eastAsia="es-MX"/>
        </w:rPr>
        <w:t xml:space="preserve">Sujeto Obligado </w:t>
      </w:r>
      <w:r w:rsidRPr="00CD625F">
        <w:rPr>
          <w:rFonts w:ascii="Palatino Linotype" w:hAnsi="Palatino Linotype" w:cs="Arial"/>
        </w:rPr>
        <w:t xml:space="preserve">información relativa a la lista de raya en el periodo solicitado, bastará con el sólo pronunciamiento de éste para tener por colmado el requerimiento de información por tratarse de trabajadores temporales que no está </w:t>
      </w:r>
      <w:r w:rsidRPr="00CD625F">
        <w:rPr>
          <w:rFonts w:ascii="Palatino Linotype" w:hAnsi="Palatino Linotype" w:cs="Arial"/>
        </w:rPr>
        <w:lastRenderedPageBreak/>
        <w:t xml:space="preserve">obligado a contratar, esto en términos de los artículos 3 fracciones XI, XII 4, 12 y 24 último párrafo de la Ley de Transparencia y Acceso a la Información Pública del Estado de México y Municipios, </w:t>
      </w:r>
      <w:r>
        <w:rPr>
          <w:rFonts w:ascii="Palatino Linotype" w:hAnsi="Palatino Linotype" w:cs="Arial"/>
        </w:rPr>
        <w:t>los que ya fueron expuestos al inicio del presente considerando.</w:t>
      </w:r>
    </w:p>
    <w:p w14:paraId="6FA7B9CE" w14:textId="77777777" w:rsidR="009A136C" w:rsidRDefault="009A136C" w:rsidP="009A136C">
      <w:pPr>
        <w:spacing w:before="240" w:after="240" w:line="360" w:lineRule="auto"/>
        <w:ind w:right="51"/>
        <w:contextualSpacing/>
        <w:jc w:val="both"/>
        <w:rPr>
          <w:rFonts w:ascii="Palatino Linotype" w:hAnsi="Palatino Linotype" w:cs="Arial"/>
        </w:rPr>
      </w:pPr>
    </w:p>
    <w:p w14:paraId="095C2B88" w14:textId="24642FD0" w:rsidR="00FF2434" w:rsidRPr="00496C28" w:rsidRDefault="00FF2434" w:rsidP="00FF2434">
      <w:pPr>
        <w:tabs>
          <w:tab w:val="left" w:pos="709"/>
        </w:tabs>
        <w:spacing w:line="360" w:lineRule="auto"/>
        <w:jc w:val="both"/>
        <w:rPr>
          <w:rFonts w:ascii="Palatino Linotype" w:hAnsi="Palatino Linotype" w:cs="Arial"/>
        </w:rPr>
      </w:pPr>
      <w:r>
        <w:rPr>
          <w:rFonts w:ascii="Palatino Linotype" w:hAnsi="Palatino Linotype" w:cs="Arial"/>
        </w:rPr>
        <w:t>E</w:t>
      </w:r>
      <w:r w:rsidRPr="00496C28">
        <w:rPr>
          <w:rFonts w:ascii="Palatino Linotype" w:hAnsi="Palatino Linotype" w:cs="Arial"/>
        </w:rPr>
        <w:t>s menester señalar que la información requerida en la solicitud de acceso a la información constituye una d</w:t>
      </w:r>
      <w:r>
        <w:rPr>
          <w:rFonts w:ascii="Palatino Linotype" w:hAnsi="Palatino Linotype" w:cs="Arial"/>
        </w:rPr>
        <w:t>e las obligaciones de transparencia c</w:t>
      </w:r>
      <w:r w:rsidRPr="00496C28">
        <w:rPr>
          <w:rFonts w:ascii="Palatino Linotype" w:hAnsi="Palatino Linotype" w:cs="Arial"/>
        </w:rPr>
        <w:t xml:space="preserve">omunes de los sujetos obligados, que genera, administra o posee en </w:t>
      </w:r>
      <w:r>
        <w:rPr>
          <w:rFonts w:ascii="Palatino Linotype" w:hAnsi="Palatino Linotype" w:cs="Arial"/>
        </w:rPr>
        <w:t>sus archivos, ello conforme</w:t>
      </w:r>
      <w:r w:rsidRPr="00496C28">
        <w:rPr>
          <w:rFonts w:ascii="Palatino Linotype" w:hAnsi="Palatino Linotype" w:cs="Arial"/>
        </w:rPr>
        <w:t xml:space="preserve"> a lo previsto por los artículos 92 fracción </w:t>
      </w:r>
      <w:r>
        <w:rPr>
          <w:rFonts w:ascii="Palatino Linotype" w:hAnsi="Palatino Linotype" w:cs="Arial"/>
        </w:rPr>
        <w:t>VII</w:t>
      </w:r>
      <w:r w:rsidRPr="00496C28">
        <w:rPr>
          <w:rFonts w:ascii="Palatino Linotype" w:hAnsi="Palatino Linotype" w:cs="Arial"/>
        </w:rPr>
        <w:t>I de la Ley de Transparencia y Acceso a la Información Pública del Estado de México y Municipios; que a la letra establece:</w:t>
      </w:r>
    </w:p>
    <w:p w14:paraId="2FFEA44C" w14:textId="77777777" w:rsidR="00FF2434" w:rsidRPr="00496C28" w:rsidRDefault="00FF2434" w:rsidP="00FF2434">
      <w:pPr>
        <w:tabs>
          <w:tab w:val="left" w:pos="709"/>
        </w:tabs>
        <w:spacing w:line="360" w:lineRule="auto"/>
        <w:jc w:val="both"/>
        <w:rPr>
          <w:rFonts w:ascii="Palatino Linotype" w:hAnsi="Palatino Linotype" w:cs="Arial"/>
          <w:sz w:val="18"/>
        </w:rPr>
      </w:pPr>
    </w:p>
    <w:p w14:paraId="56F1D1AC" w14:textId="77777777" w:rsidR="00FF2434" w:rsidRDefault="00FF2434" w:rsidP="00FF2434">
      <w:pPr>
        <w:tabs>
          <w:tab w:val="left" w:pos="709"/>
        </w:tabs>
        <w:ind w:left="567" w:right="567"/>
        <w:jc w:val="both"/>
        <w:rPr>
          <w:rFonts w:ascii="Palatino Linotype" w:hAnsi="Palatino Linotype" w:cs="Arial"/>
          <w:i/>
          <w:sz w:val="22"/>
          <w:szCs w:val="22"/>
        </w:rPr>
      </w:pPr>
      <w:r w:rsidRPr="00496C28">
        <w:rPr>
          <w:rFonts w:ascii="Palatino Linotype" w:hAnsi="Palatino Linotype" w:cs="Arial"/>
          <w:b/>
          <w:i/>
          <w:sz w:val="22"/>
          <w:szCs w:val="22"/>
        </w:rPr>
        <w:t>“Artículo 92.</w:t>
      </w:r>
      <w:r w:rsidRPr="00496C28">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059A10" w14:textId="77777777" w:rsidR="00FF2434" w:rsidRPr="00496C28" w:rsidRDefault="00FF2434" w:rsidP="00FF2434">
      <w:pPr>
        <w:tabs>
          <w:tab w:val="left" w:pos="709"/>
        </w:tabs>
        <w:ind w:left="567" w:right="567"/>
        <w:jc w:val="both"/>
        <w:rPr>
          <w:rFonts w:ascii="Palatino Linotype" w:hAnsi="Palatino Linotype" w:cs="Arial"/>
          <w:b/>
          <w:i/>
          <w:sz w:val="22"/>
          <w:szCs w:val="22"/>
        </w:rPr>
      </w:pPr>
      <w:r>
        <w:rPr>
          <w:rFonts w:ascii="Palatino Linotype" w:hAnsi="Palatino Linotype" w:cs="Arial"/>
          <w:b/>
          <w:i/>
          <w:sz w:val="22"/>
          <w:szCs w:val="22"/>
        </w:rPr>
        <w:t>…</w:t>
      </w:r>
    </w:p>
    <w:p w14:paraId="6FF424D6" w14:textId="77777777" w:rsidR="00FF2434" w:rsidRPr="00496C28" w:rsidRDefault="00FF2434" w:rsidP="00FF2434">
      <w:pPr>
        <w:tabs>
          <w:tab w:val="left" w:pos="709"/>
        </w:tabs>
        <w:ind w:left="567" w:right="567"/>
        <w:jc w:val="both"/>
        <w:rPr>
          <w:rFonts w:ascii="Palatino Linotype" w:hAnsi="Palatino Linotype" w:cs="Arial"/>
          <w:i/>
          <w:sz w:val="22"/>
          <w:szCs w:val="22"/>
        </w:rPr>
      </w:pPr>
      <w:r w:rsidRPr="00936A64">
        <w:rPr>
          <w:rFonts w:ascii="Palatino Linotype" w:hAnsi="Palatino Linotype" w:cs="Arial"/>
          <w:i/>
          <w:sz w:val="22"/>
          <w:szCs w:val="22"/>
        </w:rPr>
        <w:t xml:space="preserve">VIII. La remuneración </w:t>
      </w:r>
      <w:r w:rsidRPr="009F0EDE">
        <w:rPr>
          <w:rFonts w:ascii="Palatino Linotype" w:hAnsi="Palatino Linotype" w:cs="Arial"/>
          <w:b/>
          <w:i/>
          <w:sz w:val="22"/>
          <w:szCs w:val="22"/>
        </w:rPr>
        <w:t>bruta y neta</w:t>
      </w:r>
      <w:r w:rsidRPr="00936A64">
        <w:rPr>
          <w:rFonts w:ascii="Palatino Linotype" w:hAnsi="Palatino Linotype" w:cs="Arial"/>
          <w:i/>
          <w:sz w:val="22"/>
          <w:szCs w:val="22"/>
        </w:rPr>
        <w:t xml:space="preserve"> de todos los servidores públicos de base o de confianza, de todas las percepciones, incluyendo sueldos, prestaciones, gratificaciones, primas, comisiones, dietas, bonos, estímulos, ingresos y sistemas de compensación, señalando la peri</w:t>
      </w:r>
      <w:r>
        <w:rPr>
          <w:rFonts w:ascii="Palatino Linotype" w:hAnsi="Palatino Linotype" w:cs="Arial"/>
          <w:i/>
          <w:sz w:val="22"/>
          <w:szCs w:val="22"/>
        </w:rPr>
        <w:t>odicidad de dicha remuneración… (Sic)</w:t>
      </w:r>
    </w:p>
    <w:p w14:paraId="229A026F" w14:textId="77777777" w:rsidR="00FF2434" w:rsidRDefault="00FF2434" w:rsidP="00DF1EDA">
      <w:pPr>
        <w:spacing w:before="240" w:after="240" w:line="360" w:lineRule="auto"/>
        <w:contextualSpacing/>
        <w:jc w:val="both"/>
        <w:rPr>
          <w:rFonts w:ascii="Palatino Linotype" w:hAnsi="Palatino Linotype" w:cs="Arial"/>
        </w:rPr>
      </w:pPr>
    </w:p>
    <w:p w14:paraId="7616FCCD" w14:textId="5BEA2C35" w:rsidR="00DF1EDA" w:rsidRDefault="00536B8E" w:rsidP="00DF1EDA">
      <w:pPr>
        <w:spacing w:before="240" w:after="240" w:line="360" w:lineRule="auto"/>
        <w:contextualSpacing/>
        <w:jc w:val="both"/>
        <w:rPr>
          <w:rFonts w:ascii="Palatino Linotype" w:hAnsi="Palatino Linotype" w:cs="Arial"/>
        </w:rPr>
      </w:pPr>
      <w:r w:rsidRPr="009879C0">
        <w:rPr>
          <w:rFonts w:ascii="Palatino Linotype" w:hAnsi="Palatino Linotype" w:cs="Arial"/>
        </w:rPr>
        <w:t>Finalmente</w:t>
      </w:r>
      <w:r w:rsidR="009879C0" w:rsidRPr="009879C0">
        <w:rPr>
          <w:rFonts w:ascii="Palatino Linotype" w:hAnsi="Palatino Linotype" w:cs="Arial"/>
        </w:rPr>
        <w:t>, en observancia al acto impugnado y</w:t>
      </w:r>
      <w:r w:rsidRPr="009879C0">
        <w:rPr>
          <w:rFonts w:ascii="Palatino Linotype" w:hAnsi="Palatino Linotype" w:cs="Arial"/>
        </w:rPr>
        <w:t xml:space="preserve"> razones o motivos de inconformidad hechos valer por el recurrente </w:t>
      </w:r>
      <w:r w:rsidRPr="009879C0">
        <w:rPr>
          <w:rFonts w:ascii="Palatino Linotype" w:hAnsi="Palatino Linotype"/>
        </w:rPr>
        <w:t xml:space="preserve">se determina lo </w:t>
      </w:r>
      <w:r>
        <w:rPr>
          <w:rFonts w:ascii="Palatino Linotype" w:hAnsi="Palatino Linotype"/>
          <w:color w:val="000000"/>
        </w:rPr>
        <w:t xml:space="preserve">siguiente: </w:t>
      </w:r>
      <w:r w:rsidR="00DF1EDA">
        <w:rPr>
          <w:rFonts w:ascii="Palatino Linotype" w:hAnsi="Palatino Linotype" w:cs="Arial"/>
        </w:rPr>
        <w:t>toda vez que el presente recurso de revisión tuvo como origen la falta de respuesta por parte del Sujeto Obligado en el plazo que tienen los Su</w:t>
      </w:r>
      <w:r w:rsidR="003767B7">
        <w:rPr>
          <w:rFonts w:ascii="Palatino Linotype" w:hAnsi="Palatino Linotype" w:cs="Arial"/>
        </w:rPr>
        <w:t>jetos Obligados para atender la solicitud de información que le</w:t>
      </w:r>
      <w:r>
        <w:rPr>
          <w:rFonts w:ascii="Palatino Linotype" w:hAnsi="Palatino Linotype" w:cs="Arial"/>
        </w:rPr>
        <w:t xml:space="preserve"> </w:t>
      </w:r>
      <w:r w:rsidR="003767B7">
        <w:rPr>
          <w:rFonts w:ascii="Palatino Linotype" w:hAnsi="Palatino Linotype" w:cs="Arial"/>
        </w:rPr>
        <w:t>fue formulada</w:t>
      </w:r>
      <w:r>
        <w:rPr>
          <w:rFonts w:ascii="Palatino Linotype" w:hAnsi="Palatino Linotype" w:cs="Arial"/>
        </w:rPr>
        <w:t>, de conformidad con lo establecido en</w:t>
      </w:r>
      <w:r w:rsidR="009879C0">
        <w:rPr>
          <w:rFonts w:ascii="Palatino Linotype" w:hAnsi="Palatino Linotype" w:cs="Arial"/>
        </w:rPr>
        <w:t xml:space="preserve"> los</w:t>
      </w:r>
      <w:r w:rsidR="00DF1EDA">
        <w:rPr>
          <w:rFonts w:ascii="Palatino Linotype" w:hAnsi="Palatino Linotype" w:cs="Arial"/>
        </w:rPr>
        <w:t xml:space="preserve"> artículo</w:t>
      </w:r>
      <w:r w:rsidR="009879C0">
        <w:rPr>
          <w:rFonts w:ascii="Palatino Linotype" w:hAnsi="Palatino Linotype" w:cs="Arial"/>
        </w:rPr>
        <w:t>s</w:t>
      </w:r>
      <w:r w:rsidR="00DF1EDA">
        <w:rPr>
          <w:rFonts w:ascii="Palatino Linotype" w:hAnsi="Palatino Linotype" w:cs="Arial"/>
        </w:rPr>
        <w:t xml:space="preserve"> 163</w:t>
      </w:r>
      <w:r w:rsidR="009879C0">
        <w:rPr>
          <w:rFonts w:ascii="Palatino Linotype" w:hAnsi="Palatino Linotype" w:cs="Arial"/>
        </w:rPr>
        <w:t>, 190 y 222, fracción III</w:t>
      </w:r>
      <w:r w:rsidR="00DF1EDA">
        <w:rPr>
          <w:rFonts w:ascii="Palatino Linotype" w:hAnsi="Palatino Linotype" w:cs="Arial"/>
        </w:rPr>
        <w:t xml:space="preserve"> de la Ley de Transparencia y Acceso a la Información Pública de</w:t>
      </w:r>
      <w:r w:rsidR="009879C0">
        <w:rPr>
          <w:rFonts w:ascii="Palatino Linotype" w:hAnsi="Palatino Linotype" w:cs="Arial"/>
        </w:rPr>
        <w:t xml:space="preserve">l Estado de México y Municipios el pleno de este Órgano </w:t>
      </w:r>
      <w:r w:rsidR="009879C0">
        <w:rPr>
          <w:rFonts w:ascii="Palatino Linotype" w:hAnsi="Palatino Linotype" w:cs="Arial"/>
        </w:rPr>
        <w:lastRenderedPageBreak/>
        <w:t>Garante</w:t>
      </w:r>
      <w:r w:rsidR="00DF1EDA">
        <w:rPr>
          <w:rFonts w:ascii="Palatino Linotype" w:hAnsi="Palatino Linotype" w:cs="Arial"/>
        </w:rPr>
        <w:t>, ordena se de vista al Titular de la Contraloría Interna y Órgano de Control y Vigilancia de este Instituto a fin de que en ejercicio de sus funciones determine lo conducente.</w:t>
      </w:r>
    </w:p>
    <w:p w14:paraId="7D613450" w14:textId="77777777" w:rsidR="00046D1F" w:rsidRDefault="00046D1F" w:rsidP="00DF1EDA">
      <w:pPr>
        <w:spacing w:before="240" w:after="240" w:line="360" w:lineRule="auto"/>
        <w:contextualSpacing/>
        <w:jc w:val="both"/>
        <w:rPr>
          <w:rFonts w:ascii="Palatino Linotype" w:hAnsi="Palatino Linotype" w:cs="Arial"/>
        </w:rPr>
      </w:pPr>
    </w:p>
    <w:p w14:paraId="6BBDE2AC" w14:textId="1D7B13C5" w:rsidR="004A59DD" w:rsidRDefault="000D470B" w:rsidP="004A59DD">
      <w:pPr>
        <w:spacing w:before="240" w:after="240" w:line="360" w:lineRule="auto"/>
        <w:jc w:val="both"/>
        <w:rPr>
          <w:rFonts w:ascii="Palatino Linotype" w:hAnsi="Palatino Linotype" w:cs="Arial"/>
        </w:rPr>
      </w:pPr>
      <w:r>
        <w:rPr>
          <w:rFonts w:ascii="Palatino Linotype" w:hAnsi="Palatino Linotype"/>
          <w:b/>
        </w:rPr>
        <w:t>Sexto</w:t>
      </w:r>
      <w:r w:rsidR="004A59DD">
        <w:rPr>
          <w:rFonts w:ascii="Palatino Linotype" w:hAnsi="Palatino Linotype"/>
          <w:b/>
        </w:rPr>
        <w:t xml:space="preserve">. Versión Pública. </w:t>
      </w:r>
      <w:r w:rsidR="004A59DD" w:rsidRPr="0074668D">
        <w:rPr>
          <w:rFonts w:ascii="Palatino Linotype" w:hAnsi="Palatino Linotype" w:cs="Arial"/>
          <w:bCs/>
        </w:rPr>
        <w:t xml:space="preserve">Respecto </w:t>
      </w:r>
      <w:r w:rsidR="004A59DD">
        <w:rPr>
          <w:rFonts w:ascii="Palatino Linotype" w:hAnsi="Palatino Linotype" w:cs="Arial"/>
          <w:bCs/>
        </w:rPr>
        <w:t>de la documentación con la cual se podría colmar la solicitud de información,</w:t>
      </w:r>
      <w:r w:rsidR="004A59DD" w:rsidRPr="0074668D">
        <w:rPr>
          <w:rFonts w:ascii="Palatino Linotype" w:hAnsi="Palatino Linotype" w:cs="Arial"/>
          <w:bCs/>
        </w:rPr>
        <w:t xml:space="preserve"> </w:t>
      </w:r>
      <w:r w:rsidR="004A59DD" w:rsidRPr="00BB1D9C">
        <w:rPr>
          <w:rFonts w:ascii="Palatino Linotype" w:hAnsi="Palatino Linotype" w:cs="Arial"/>
        </w:rPr>
        <w:t xml:space="preserve">resulta oportuno </w:t>
      </w:r>
      <w:r w:rsidR="004A59DD">
        <w:rPr>
          <w:rFonts w:ascii="Palatino Linotype" w:hAnsi="Palatino Linotype" w:cs="Arial"/>
        </w:rPr>
        <w:t>observar</w:t>
      </w:r>
      <w:r w:rsidR="004A59DD" w:rsidRPr="00BB1D9C">
        <w:rPr>
          <w:rFonts w:ascii="Palatino Linotype" w:hAnsi="Palatino Linotype" w:cs="Arial"/>
        </w:rPr>
        <w:t xml:space="preserve"> l</w:t>
      </w:r>
      <w:r w:rsidR="004A59DD">
        <w:rPr>
          <w:rFonts w:ascii="Palatino Linotype" w:hAnsi="Palatino Linotype" w:cs="Arial"/>
        </w:rPr>
        <w:t xml:space="preserve">o dispuesto en los </w:t>
      </w:r>
      <w:r w:rsidR="004A59DD" w:rsidRPr="00BB1D9C">
        <w:rPr>
          <w:rFonts w:ascii="Palatino Linotype" w:hAnsi="Palatino Linotype" w:cs="Arial"/>
        </w:rPr>
        <w:t xml:space="preserve">artículos </w:t>
      </w:r>
      <w:r w:rsidR="004A59DD">
        <w:rPr>
          <w:rFonts w:ascii="Palatino Linotype" w:hAnsi="Palatino Linotype" w:cs="Arial"/>
        </w:rPr>
        <w:t>3</w:t>
      </w:r>
      <w:r w:rsidR="004A59DD" w:rsidRPr="00BB1D9C">
        <w:rPr>
          <w:rFonts w:ascii="Palatino Linotype" w:hAnsi="Palatino Linotype" w:cs="Arial"/>
        </w:rPr>
        <w:t>, fracciones I</w:t>
      </w:r>
      <w:r w:rsidR="004A59DD">
        <w:rPr>
          <w:rFonts w:ascii="Palatino Linotype" w:hAnsi="Palatino Linotype" w:cs="Arial"/>
        </w:rPr>
        <w:t>X</w:t>
      </w:r>
      <w:r w:rsidR="004A59DD" w:rsidRPr="00BB1D9C">
        <w:rPr>
          <w:rFonts w:ascii="Palatino Linotype" w:hAnsi="Palatino Linotype" w:cs="Arial"/>
        </w:rPr>
        <w:t xml:space="preserve">, </w:t>
      </w:r>
      <w:r w:rsidR="004A59DD">
        <w:rPr>
          <w:rFonts w:ascii="Palatino Linotype" w:hAnsi="Palatino Linotype" w:cs="Arial"/>
        </w:rPr>
        <w:t>XX, XXI</w:t>
      </w:r>
      <w:r w:rsidR="004A59DD" w:rsidRPr="00BB1D9C">
        <w:rPr>
          <w:rFonts w:ascii="Palatino Linotype" w:hAnsi="Palatino Linotype" w:cs="Arial"/>
        </w:rPr>
        <w:t xml:space="preserve"> y X</w:t>
      </w:r>
      <w:r w:rsidR="004A59DD">
        <w:rPr>
          <w:rFonts w:ascii="Palatino Linotype" w:hAnsi="Palatino Linotype" w:cs="Arial"/>
        </w:rPr>
        <w:t>LV; 4, 91</w:t>
      </w:r>
      <w:r w:rsidR="004A59DD" w:rsidRPr="00BB1D9C">
        <w:rPr>
          <w:rFonts w:ascii="Palatino Linotype" w:hAnsi="Palatino Linotype" w:cs="Arial"/>
        </w:rPr>
        <w:t xml:space="preserve">, </w:t>
      </w:r>
      <w:r w:rsidR="004A59DD">
        <w:rPr>
          <w:rFonts w:ascii="Palatino Linotype" w:hAnsi="Palatino Linotype" w:cs="Arial"/>
        </w:rPr>
        <w:t>143</w:t>
      </w:r>
      <w:r w:rsidR="004A59DD" w:rsidRPr="00BB1D9C">
        <w:rPr>
          <w:rFonts w:ascii="Palatino Linotype" w:hAnsi="Palatino Linotype" w:cs="Arial"/>
        </w:rPr>
        <w:t xml:space="preserve">, </w:t>
      </w:r>
      <w:r w:rsidR="004A59DD">
        <w:rPr>
          <w:rFonts w:ascii="Palatino Linotype" w:hAnsi="Palatino Linotype" w:cs="Arial"/>
        </w:rPr>
        <w:t>51</w:t>
      </w:r>
      <w:r w:rsidR="004A59DD" w:rsidRPr="00BB1D9C">
        <w:rPr>
          <w:rFonts w:ascii="Palatino Linotype" w:hAnsi="Palatino Linotype" w:cs="Arial"/>
        </w:rPr>
        <w:t xml:space="preserve"> y </w:t>
      </w:r>
      <w:r w:rsidR="004A59DD">
        <w:rPr>
          <w:rFonts w:ascii="Palatino Linotype" w:hAnsi="Palatino Linotype" w:cs="Arial"/>
        </w:rPr>
        <w:t>137</w:t>
      </w:r>
      <w:r w:rsidR="004A59DD" w:rsidRPr="00BB1D9C">
        <w:rPr>
          <w:rFonts w:ascii="Palatino Linotype" w:hAnsi="Palatino Linotype" w:cs="Arial"/>
        </w:rPr>
        <w:t xml:space="preserve"> de la Ley de Transparencia y Acceso a la Información Pública del Estado de México y Municipios</w:t>
      </w:r>
      <w:r w:rsidR="004A59DD">
        <w:rPr>
          <w:rFonts w:ascii="Palatino Linotype" w:hAnsi="Palatino Linotype" w:cs="Arial"/>
        </w:rPr>
        <w:t>, de los cuales</w:t>
      </w:r>
      <w:r w:rsidR="004A59DD" w:rsidRPr="00BB1D9C">
        <w:rPr>
          <w:rFonts w:ascii="Palatino Linotype" w:hAnsi="Palatino Linotype" w:cs="Arial"/>
        </w:rPr>
        <w:t xml:space="preserve"> se desprende que el derecho de acceso a la información pública tiene como limitante el respeto a la intimidad y a la vida privada de las personas,</w:t>
      </w:r>
      <w:r w:rsidR="004A59DD">
        <w:rPr>
          <w:rFonts w:ascii="Palatino Linotype" w:hAnsi="Palatino Linotype" w:cs="Arial"/>
        </w:rPr>
        <w:t xml:space="preserve"> por lo que la entrega de la información, en caso de contener datos personales, deberá ser en versión pública </w:t>
      </w:r>
      <w:r w:rsidR="004A59DD" w:rsidRPr="001304D2">
        <w:rPr>
          <w:rFonts w:ascii="Palatino Linotype" w:hAnsi="Palatino Linotype" w:cs="Arial"/>
        </w:rPr>
        <w:t>en la que se suprima aquella información relacionada con la vida privada de los servidores públicos.</w:t>
      </w:r>
    </w:p>
    <w:p w14:paraId="6EADDDFD"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En este sentido,</w:t>
      </w:r>
      <w:r w:rsidRPr="0074668D">
        <w:rPr>
          <w:rFonts w:ascii="Palatino Linotype" w:hAnsi="Palatino Linotype" w:cs="Arial"/>
        </w:rPr>
        <w:t xml:space="preserve"> los Sujetos Obligados </w:t>
      </w:r>
      <w:r>
        <w:rPr>
          <w:rFonts w:ascii="Palatino Linotype" w:hAnsi="Palatino Linotype" w:cs="Arial"/>
        </w:rPr>
        <w:t xml:space="preserve">deben observar que los datos personales en su posesión </w:t>
      </w:r>
      <w:r w:rsidRPr="0074668D">
        <w:rPr>
          <w:rFonts w:ascii="Palatino Linotype" w:hAnsi="Palatino Linotype" w:cs="Arial"/>
        </w:rPr>
        <w:t>estén protegidos, adopta</w:t>
      </w:r>
      <w:r>
        <w:rPr>
          <w:rFonts w:ascii="Palatino Linotype" w:hAnsi="Palatino Linotype" w:cs="Arial"/>
        </w:rPr>
        <w:t>ndo</w:t>
      </w:r>
      <w:r w:rsidRPr="0074668D">
        <w:rPr>
          <w:rFonts w:ascii="Palatino Linotype" w:hAnsi="Palatino Linotype" w:cs="Arial"/>
        </w:rPr>
        <w:t xml:space="preserve"> las medidas de seguridad administrativa, física y técnica necesarias para garantizar la integridad, confidencialidad y disponibilidad de los </w:t>
      </w:r>
      <w:r>
        <w:rPr>
          <w:rFonts w:ascii="Palatino Linotype" w:hAnsi="Palatino Linotype" w:cs="Arial"/>
        </w:rPr>
        <w:t>mismos</w:t>
      </w:r>
      <w:r w:rsidRPr="0074668D">
        <w:rPr>
          <w:rFonts w:ascii="Palatino Linotype" w:hAnsi="Palatino Linotype" w:cs="Arial"/>
        </w:rPr>
        <w:t xml:space="preserve">, considerando además, que conforme al principio de finalidad todo tratamiento de datos personales que efectúen los Sujetos Obligados deberá estar justificado en la Ley, </w:t>
      </w:r>
      <w:r>
        <w:rPr>
          <w:rFonts w:ascii="Palatino Linotype" w:hAnsi="Palatino Linotype" w:cs="Arial"/>
        </w:rPr>
        <w:t>tal como lo</w:t>
      </w:r>
      <w:r w:rsidRPr="0074668D">
        <w:rPr>
          <w:rFonts w:ascii="Palatino Linotype" w:hAnsi="Palatino Linotype" w:cs="Arial"/>
        </w:rPr>
        <w:t xml:space="preserve"> disp</w:t>
      </w:r>
      <w:r>
        <w:rPr>
          <w:rFonts w:ascii="Palatino Linotype" w:hAnsi="Palatino Linotype" w:cs="Arial"/>
        </w:rPr>
        <w:t>one</w:t>
      </w:r>
      <w:r w:rsidRPr="0074668D">
        <w:rPr>
          <w:rFonts w:ascii="Palatino Linotype" w:hAnsi="Palatino Linotype" w:cs="Arial"/>
        </w:rPr>
        <w:t xml:space="preserve"> el artículo </w:t>
      </w:r>
      <w:r>
        <w:rPr>
          <w:rFonts w:ascii="Palatino Linotype" w:hAnsi="Palatino Linotype" w:cs="Arial"/>
        </w:rPr>
        <w:t>3</w:t>
      </w:r>
      <w:r w:rsidRPr="0074668D">
        <w:rPr>
          <w:rFonts w:ascii="Palatino Linotype" w:hAnsi="Palatino Linotype" w:cs="Arial"/>
        </w:rPr>
        <w:t xml:space="preserve">8 de la Ley de Protección de Datos Personales </w:t>
      </w:r>
      <w:r>
        <w:rPr>
          <w:rFonts w:ascii="Palatino Linotype" w:hAnsi="Palatino Linotype" w:cs="Arial"/>
        </w:rPr>
        <w:t xml:space="preserve">en Posesión de Sujetos Obligados </w:t>
      </w:r>
      <w:r w:rsidRPr="0074668D">
        <w:rPr>
          <w:rFonts w:ascii="Palatino Linotype" w:hAnsi="Palatino Linotype" w:cs="Arial"/>
        </w:rPr>
        <w:t>del Estado de México</w:t>
      </w:r>
      <w:r>
        <w:rPr>
          <w:rFonts w:ascii="Palatino Linotype" w:hAnsi="Palatino Linotype" w:cs="Arial"/>
        </w:rPr>
        <w:t xml:space="preserve"> y Municipios. </w:t>
      </w:r>
    </w:p>
    <w:p w14:paraId="1F2A1658"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 xml:space="preserve">De este modo, en armonía entre los principios constitucionales de máxima publicidad y de protección de datos personales, la Ley permite la elaboración de </w:t>
      </w:r>
      <w:r w:rsidRPr="0074668D">
        <w:rPr>
          <w:rFonts w:ascii="Palatino Linotype" w:hAnsi="Palatino Linotype" w:cs="Arial"/>
        </w:rPr>
        <w:lastRenderedPageBreak/>
        <w:t>versiones públicas en las que se suprima aquella información relacionada con la vida privada de los particulares y de los servidores públicos.</w:t>
      </w:r>
    </w:p>
    <w:p w14:paraId="2CA7E2F2" w14:textId="77777777" w:rsidR="004A59DD" w:rsidRDefault="004A59DD" w:rsidP="004A59DD">
      <w:pPr>
        <w:spacing w:before="240" w:after="240" w:line="360" w:lineRule="auto"/>
        <w:jc w:val="both"/>
        <w:rPr>
          <w:rFonts w:ascii="Palatino Linotype" w:hAnsi="Palatino Linotype" w:cs="Arial"/>
        </w:rPr>
      </w:pPr>
      <w:r>
        <w:rPr>
          <w:rFonts w:ascii="Palatino Linotype" w:hAnsi="Palatino Linotype" w:cs="Arial"/>
        </w:rPr>
        <w:t>E</w:t>
      </w:r>
      <w:r w:rsidRPr="0074668D">
        <w:rPr>
          <w:rFonts w:ascii="Palatino Linotype" w:hAnsi="Palatino Linotype" w:cs="Arial"/>
        </w:rPr>
        <w:t xml:space="preserve">n el caso específico, es criterio reiterado </w:t>
      </w:r>
      <w:r>
        <w:rPr>
          <w:rFonts w:ascii="Palatino Linotype" w:hAnsi="Palatino Linotype" w:cs="Arial"/>
        </w:rPr>
        <w:t>de este Instituto</w:t>
      </w:r>
      <w:r w:rsidRPr="0074668D">
        <w:rPr>
          <w:rFonts w:ascii="Palatino Linotype" w:hAnsi="Palatino Linotype" w:cs="Arial"/>
        </w:rPr>
        <w:t xml:space="preserve"> que además de los datos especificados en la Ley de Transparencia y Acceso a la Información Pública del Estado de México y Municipios</w:t>
      </w:r>
      <w:r>
        <w:rPr>
          <w:rFonts w:ascii="Palatino Linotype" w:hAnsi="Palatino Linotype" w:cs="Arial"/>
        </w:rPr>
        <w:t>,</w:t>
      </w:r>
      <w:r w:rsidRPr="0074668D">
        <w:rPr>
          <w:rFonts w:ascii="Palatino Linotype" w:hAnsi="Palatino Linotype" w:cs="Arial"/>
        </w:rPr>
        <w:t xml:space="preserve"> se consideran confidenciales y por tanto deben testarse al momento de la elaboración de versiones públicas 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sidRPr="0074668D">
        <w:rPr>
          <w:rFonts w:ascii="Palatino Linotype" w:hAnsi="Palatino Linotype" w:cs="Arial"/>
        </w:rPr>
        <w:t xml:space="preserve"> (CURP)</w:t>
      </w:r>
      <w:r>
        <w:rPr>
          <w:rFonts w:ascii="Palatino Linotype" w:hAnsi="Palatino Linotype" w:cs="Arial"/>
        </w:rPr>
        <w:t xml:space="preserve"> y</w:t>
      </w:r>
      <w:r w:rsidRPr="0074668D">
        <w:rPr>
          <w:rFonts w:ascii="Palatino Linotype" w:hAnsi="Palatino Linotype" w:cs="Arial"/>
        </w:rPr>
        <w:t xml:space="preserve"> la </w:t>
      </w:r>
      <w:r w:rsidRPr="0074668D">
        <w:rPr>
          <w:rFonts w:ascii="Palatino Linotype" w:hAnsi="Palatino Linotype" w:cs="Arial"/>
          <w:b/>
        </w:rPr>
        <w:t>Clave de cualquier tipo de seguridad social</w:t>
      </w:r>
      <w:r>
        <w:rPr>
          <w:rFonts w:ascii="Palatino Linotype" w:hAnsi="Palatino Linotype" w:cs="Arial"/>
        </w:rPr>
        <w:t xml:space="preserve"> (ISSEMYM, u otros), y los que de manera sucinta se analizan a continuación, entre otros.</w:t>
      </w:r>
    </w:p>
    <w:p w14:paraId="3FBA2180"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En cuanto al </w:t>
      </w:r>
      <w:r>
        <w:rPr>
          <w:rFonts w:ascii="Palatino Linotype" w:hAnsi="Palatino Linotype" w:cs="Arial"/>
          <w:lang w:eastAsia="es-MX"/>
        </w:rPr>
        <w:t xml:space="preserve">RFC, este </w:t>
      </w:r>
      <w:r w:rsidRPr="0074668D">
        <w:rPr>
          <w:rFonts w:ascii="Palatino Linotype" w:hAnsi="Palatino Linotype" w:cs="Arial"/>
          <w:lang w:eastAsia="es-MX"/>
        </w:rPr>
        <w:t>constituye un dato personal, ya que para su obtención es necesario acreditar ante la autoridad fiscal previamente la identidad de la persona, su fecha de nacimiento, entre otros aspectos.</w:t>
      </w:r>
    </w:p>
    <w:p w14:paraId="62A3FF31" w14:textId="77769A34"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4881F6E2" w14:textId="77777777" w:rsidR="004A59DD" w:rsidRDefault="004A59DD" w:rsidP="004A59DD">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 xml:space="preserve">AI) a través del Criterio </w:t>
      </w:r>
      <w:r>
        <w:rPr>
          <w:rFonts w:ascii="Palatino Linotype" w:hAnsi="Palatino Linotype" w:cs="Arial"/>
          <w:lang w:eastAsia="es-MX"/>
        </w:rPr>
        <w:t>19</w:t>
      </w:r>
      <w:r w:rsidRPr="0074668D">
        <w:rPr>
          <w:rFonts w:ascii="Palatino Linotype" w:hAnsi="Palatino Linotype" w:cs="Arial"/>
          <w:lang w:eastAsia="es-MX"/>
        </w:rPr>
        <w:t>/</w:t>
      </w:r>
      <w:r>
        <w:rPr>
          <w:rFonts w:ascii="Palatino Linotype" w:hAnsi="Palatino Linotype" w:cs="Arial"/>
          <w:lang w:eastAsia="es-MX"/>
        </w:rPr>
        <w:t>17</w:t>
      </w:r>
      <w:r w:rsidRPr="0074668D">
        <w:rPr>
          <w:rFonts w:ascii="Palatino Linotype" w:hAnsi="Palatino Linotype" w:cs="Arial"/>
          <w:lang w:eastAsia="es-MX"/>
        </w:rPr>
        <w:t>, el cual es del tenor literal siguiente:</w:t>
      </w:r>
    </w:p>
    <w:p w14:paraId="3CE90E26" w14:textId="77777777" w:rsidR="004A59DD" w:rsidRPr="00452AF2" w:rsidRDefault="004A59DD" w:rsidP="004A59DD">
      <w:pPr>
        <w:spacing w:after="120"/>
        <w:ind w:left="851" w:right="902"/>
        <w:jc w:val="both"/>
        <w:rPr>
          <w:rFonts w:ascii="Arial" w:hAnsi="Arial" w:cs="Arial"/>
          <w:lang w:val="es-MX"/>
        </w:rPr>
      </w:pPr>
      <w:r w:rsidRPr="00452AF2">
        <w:rPr>
          <w:rFonts w:ascii="Palatino Linotype" w:hAnsi="Palatino Linotype" w:cs="Arial"/>
          <w:b/>
          <w:bCs/>
          <w:i/>
          <w:sz w:val="20"/>
          <w:szCs w:val="20"/>
        </w:rPr>
        <w:t xml:space="preserve">“Registro Federal de Contribuyentes (RFC) de personas físicas. </w:t>
      </w:r>
      <w:r w:rsidRPr="00452AF2">
        <w:rPr>
          <w:rFonts w:ascii="Palatino Linotype" w:hAnsi="Palatino Linotype" w:cs="Arial"/>
          <w:bCs/>
          <w:i/>
          <w:sz w:val="20"/>
          <w:szCs w:val="20"/>
        </w:rPr>
        <w:t>E</w:t>
      </w:r>
      <w:r w:rsidRPr="00452AF2">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452AF2">
        <w:rPr>
          <w:rFonts w:ascii="Palatino Linotype" w:hAnsi="Palatino Linotype" w:cs="Arial"/>
          <w:bCs/>
          <w:i/>
          <w:sz w:val="20"/>
          <w:szCs w:val="20"/>
        </w:rPr>
        <w:t xml:space="preserve">” </w:t>
      </w:r>
      <w:r w:rsidRPr="00A03658">
        <w:rPr>
          <w:rFonts w:ascii="Palatino Linotype" w:hAnsi="Palatino Linotype" w:cs="Arial"/>
          <w:bCs/>
          <w:i/>
          <w:sz w:val="20"/>
          <w:szCs w:val="20"/>
        </w:rPr>
        <w:t>(Sic)</w:t>
      </w:r>
    </w:p>
    <w:p w14:paraId="53D09DAC" w14:textId="77777777" w:rsidR="004A59DD" w:rsidRPr="005C1591" w:rsidRDefault="004A59DD" w:rsidP="004A59DD">
      <w:pPr>
        <w:pStyle w:val="Sinespaciado"/>
        <w:spacing w:before="240" w:after="240" w:line="360" w:lineRule="auto"/>
        <w:jc w:val="both"/>
        <w:rPr>
          <w:rFonts w:ascii="Palatino Linotype" w:hAnsi="Palatino Linotype" w:cs="Arial"/>
          <w:lang w:eastAsia="es-MX"/>
        </w:rPr>
      </w:pPr>
      <w:r w:rsidRPr="005C1591">
        <w:rPr>
          <w:rFonts w:ascii="Palatino Linotype" w:hAnsi="Palatino Linotype" w:cs="Arial"/>
          <w:lang w:eastAsia="es-MX"/>
        </w:rPr>
        <w:lastRenderedPageBreak/>
        <w:t xml:space="preserve">Así, el RFC se vincula al nombre de su titular y permite identificar la edad de la persona, su fecha de nacimiento, así como su </w:t>
      </w:r>
      <w:proofErr w:type="spellStart"/>
      <w:r w:rsidRPr="005C1591">
        <w:rPr>
          <w:rFonts w:ascii="Palatino Linotype" w:hAnsi="Palatino Linotype" w:cs="Arial"/>
          <w:lang w:eastAsia="es-MX"/>
        </w:rPr>
        <w:t>homoclave</w:t>
      </w:r>
      <w:proofErr w:type="spellEnd"/>
      <w:r w:rsidRPr="005C1591">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53DAF79" w14:textId="77777777" w:rsidR="004A59DD" w:rsidRPr="005C1591" w:rsidRDefault="004A59DD" w:rsidP="004A59DD">
      <w:pPr>
        <w:pStyle w:val="Sinespaciado"/>
        <w:spacing w:before="240" w:after="240" w:line="360" w:lineRule="auto"/>
        <w:jc w:val="both"/>
        <w:rPr>
          <w:rFonts w:ascii="Palatino Linotype" w:eastAsia="Calibri" w:hAnsi="Palatino Linotype" w:cs="Arial"/>
          <w:lang w:eastAsia="es-MX"/>
        </w:rPr>
      </w:pPr>
      <w:r w:rsidRPr="005C1591">
        <w:rPr>
          <w:rFonts w:ascii="Palatino Linotype" w:hAnsi="Palatino Linotype" w:cs="Arial"/>
          <w:lang w:eastAsia="es-MX"/>
        </w:rPr>
        <w:t>En cuanto al CURP,</w:t>
      </w:r>
      <w:r w:rsidRPr="005C1591">
        <w:rPr>
          <w:rFonts w:ascii="Palatino Linotype" w:hAnsi="Palatino Linotype" w:cs="Arial"/>
        </w:rPr>
        <w:t xml:space="preserve"> en virtud de que éste se </w:t>
      </w:r>
      <w:r w:rsidRPr="005C1591">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A815C39"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74668D">
        <w:rPr>
          <w:rFonts w:ascii="Palatino Linotype" w:hAnsi="Palatino Linotype" w:cs="Arial"/>
          <w:lang w:eastAsia="es-MX"/>
        </w:rPr>
        <w:t xml:space="preserve">Instituto </w:t>
      </w:r>
      <w:r>
        <w:rPr>
          <w:rFonts w:ascii="Palatino Linotype" w:hAnsi="Palatino Linotype" w:cs="Arial"/>
          <w:lang w:eastAsia="es-MX"/>
        </w:rPr>
        <w:t xml:space="preserve">Nacional de Transparencia, Acceso </w:t>
      </w:r>
      <w:r w:rsidRPr="0074668D">
        <w:rPr>
          <w:rFonts w:ascii="Palatino Linotype" w:hAnsi="Palatino Linotype" w:cs="Arial"/>
          <w:lang w:eastAsia="es-MX"/>
        </w:rPr>
        <w:t xml:space="preserve">a la Información </w:t>
      </w:r>
      <w:r>
        <w:rPr>
          <w:rFonts w:ascii="Palatino Linotype" w:hAnsi="Palatino Linotype" w:cs="Arial"/>
          <w:lang w:eastAsia="es-MX"/>
        </w:rPr>
        <w:t xml:space="preserve">y </w:t>
      </w:r>
      <w:r w:rsidRPr="0074668D">
        <w:rPr>
          <w:rFonts w:ascii="Palatino Linotype" w:hAnsi="Palatino Linotype" w:cs="Arial"/>
          <w:lang w:eastAsia="es-MX"/>
        </w:rPr>
        <w:t>Prot</w:t>
      </w:r>
      <w:r>
        <w:rPr>
          <w:rFonts w:ascii="Palatino Linotype" w:hAnsi="Palatino Linotype" w:cs="Arial"/>
          <w:lang w:eastAsia="es-MX"/>
        </w:rPr>
        <w:t>ección de Datos (IN</w:t>
      </w:r>
      <w:r w:rsidRPr="0074668D">
        <w:rPr>
          <w:rFonts w:ascii="Palatino Linotype" w:hAnsi="Palatino Linotype" w:cs="Arial"/>
          <w:lang w:eastAsia="es-MX"/>
        </w:rPr>
        <w:t>AI)</w:t>
      </w:r>
      <w:r w:rsidRPr="00155BC7">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3FBBB114" w14:textId="77777777" w:rsidR="004A59DD" w:rsidRPr="00E3370D" w:rsidRDefault="004A59DD" w:rsidP="004A59DD">
      <w:pPr>
        <w:pStyle w:val="Default"/>
        <w:spacing w:after="120"/>
        <w:ind w:left="851" w:right="902"/>
        <w:jc w:val="both"/>
        <w:rPr>
          <w:b/>
        </w:rPr>
      </w:pPr>
      <w:r w:rsidRPr="00E3370D">
        <w:rPr>
          <w:rFonts w:ascii="Palatino Linotype" w:hAnsi="Palatino Linotype"/>
          <w:b/>
          <w:bCs/>
          <w:i/>
          <w:sz w:val="20"/>
          <w:szCs w:val="20"/>
          <w:lang w:eastAsia="es-MX"/>
        </w:rPr>
        <w:t>“</w:t>
      </w:r>
      <w:r w:rsidRPr="00E3370D">
        <w:rPr>
          <w:rFonts w:ascii="Palatino Linotype" w:hAnsi="Palatino Linotype"/>
          <w:b/>
          <w:bCs/>
          <w:i/>
          <w:sz w:val="20"/>
          <w:szCs w:val="20"/>
        </w:rPr>
        <w:t xml:space="preserve">Clave Única de Registro de Población (CURP). </w:t>
      </w:r>
      <w:r w:rsidRPr="00E3370D">
        <w:rPr>
          <w:rFonts w:ascii="Palatino Linotype" w:hAnsi="Palatino Linotype"/>
          <w:bCs/>
          <w:i/>
          <w:sz w:val="20"/>
          <w:szCs w:val="20"/>
        </w:rPr>
        <w:t xml:space="preserve">La </w:t>
      </w:r>
      <w:r w:rsidRPr="00E3370D">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E3370D">
        <w:rPr>
          <w:rFonts w:ascii="Palatino Linotype" w:hAnsi="Palatino Linotype"/>
          <w:i/>
          <w:sz w:val="20"/>
          <w:szCs w:val="20"/>
          <w:lang w:eastAsia="es-MX"/>
        </w:rPr>
        <w:t>”</w:t>
      </w:r>
      <w:r w:rsidRPr="00A03658">
        <w:rPr>
          <w:rFonts w:ascii="Palatino Linotype" w:hAnsi="Palatino Linotype"/>
          <w:i/>
          <w:sz w:val="20"/>
          <w:szCs w:val="20"/>
          <w:lang w:eastAsia="es-MX"/>
        </w:rPr>
        <w:t xml:space="preserve"> (Sic)</w:t>
      </w:r>
    </w:p>
    <w:p w14:paraId="1E8512DA" w14:textId="45CCE4C5" w:rsidR="004A59DD" w:rsidRDefault="00BF61CA" w:rsidP="004A59D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 </w:t>
      </w:r>
      <w:r w:rsidR="009F0EDE">
        <w:rPr>
          <w:rFonts w:ascii="Palatino Linotype" w:hAnsi="Palatino Linotype" w:cs="Arial"/>
        </w:rPr>
        <w:t>In</w:t>
      </w:r>
      <w:r w:rsidR="004A59DD">
        <w:rPr>
          <w:rFonts w:ascii="Palatino Linotype" w:hAnsi="Palatino Linotype" w:cs="Arial"/>
        </w:rPr>
        <w:t>stituto Federal de Transparencia y Acceso a la Información (INAI, cuyo texto y sentido literal es el siguiente:</w:t>
      </w:r>
    </w:p>
    <w:p w14:paraId="7230ECB7" w14:textId="77777777" w:rsidR="004A59DD" w:rsidRPr="00BE1510" w:rsidRDefault="004A59DD" w:rsidP="004A59DD">
      <w:pPr>
        <w:autoSpaceDE w:val="0"/>
        <w:autoSpaceDN w:val="0"/>
        <w:adjustRightInd w:val="0"/>
        <w:spacing w:before="240" w:after="240"/>
        <w:ind w:left="567" w:right="900"/>
        <w:jc w:val="both"/>
        <w:rPr>
          <w:rFonts w:ascii="Palatino Linotype" w:hAnsi="Palatino Linotype"/>
          <w:i/>
          <w:sz w:val="20"/>
          <w:szCs w:val="20"/>
        </w:rPr>
      </w:pPr>
      <w:r w:rsidRPr="00BE1510">
        <w:rPr>
          <w:rFonts w:ascii="Palatino Linotype" w:hAnsi="Palatino Linotype"/>
          <w:b/>
          <w:i/>
          <w:sz w:val="20"/>
          <w:szCs w:val="20"/>
        </w:rPr>
        <w:t>“El número de ficha de identificación única de los trabajadores es información de carácter confidencial.</w:t>
      </w:r>
      <w:r w:rsidRPr="00BE1510">
        <w:rPr>
          <w:rFonts w:ascii="Palatino Linotype" w:hAnsi="Palatino Linotype"/>
          <w:i/>
          <w:sz w:val="20"/>
          <w:szCs w:val="20"/>
        </w:rPr>
        <w:t xml:space="preserve"> </w:t>
      </w:r>
      <w:r w:rsidRPr="00BE1510">
        <w:rPr>
          <w:rFonts w:ascii="Palatino Linotype" w:hAnsi="Palatino Linotype"/>
          <w:i/>
          <w:sz w:val="20"/>
          <w:szCs w:val="20"/>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E1510">
        <w:rPr>
          <w:rFonts w:ascii="Palatino Linotype" w:hAnsi="Palatino Linotype"/>
          <w:i/>
          <w:sz w:val="20"/>
          <w:szCs w:val="20"/>
        </w:rPr>
        <w:t xml:space="preserve">, </w:t>
      </w:r>
      <w:r w:rsidRPr="00BE1510">
        <w:rPr>
          <w:rFonts w:ascii="Palatino Linotype" w:hAnsi="Palatino Linotype"/>
          <w:i/>
          <w:sz w:val="20"/>
          <w:szCs w:val="20"/>
          <w:u w:val="single"/>
        </w:rPr>
        <w:t xml:space="preserve">dicha </w:t>
      </w:r>
      <w:r w:rsidRPr="00BE1510">
        <w:rPr>
          <w:rFonts w:ascii="Palatino Linotype" w:hAnsi="Palatino Linotype"/>
          <w:i/>
          <w:sz w:val="20"/>
          <w:szCs w:val="20"/>
          <w:u w:val="single"/>
        </w:rPr>
        <w:lastRenderedPageBreak/>
        <w:t>información es susceptible de clasificarse con el carácter de confidencial</w:t>
      </w:r>
      <w:r w:rsidRPr="00BE1510">
        <w:rPr>
          <w:rFonts w:ascii="Palatino Linotype" w:hAnsi="Palatino Linotype"/>
          <w:i/>
          <w:sz w:val="20"/>
          <w:szCs w:val="20"/>
        </w:rPr>
        <w:t>, en términos de lo establecido en el artículo 18, fracción II de la Ley Federal de Transparencia y Acceso a la Información Pública Gubernamental, en virtud de que a través de la misma es posible conocer información personal de su titular.” (Sic)</w:t>
      </w:r>
    </w:p>
    <w:p w14:paraId="59F6192C" w14:textId="77777777" w:rsidR="004A59DD" w:rsidRPr="00A2435B" w:rsidRDefault="004A59DD" w:rsidP="004A59DD">
      <w:pPr>
        <w:pStyle w:val="Sinespaciado"/>
        <w:spacing w:before="240" w:after="240" w:line="360" w:lineRule="auto"/>
        <w:jc w:val="both"/>
        <w:rPr>
          <w:rFonts w:ascii="Palatino Linotype" w:hAnsi="Palatino Linotype" w:cs="Arial"/>
        </w:rPr>
      </w:pPr>
      <w:r>
        <w:rPr>
          <w:rFonts w:ascii="Palatino Linotype" w:hAnsi="Palatino Linotype" w:cs="Arial"/>
        </w:rPr>
        <w:t>Por cuanto hace a las deducciones, p</w:t>
      </w:r>
      <w:r w:rsidRPr="00A2435B">
        <w:rPr>
          <w:rFonts w:ascii="Palatino Linotype" w:hAnsi="Palatino Linotype" w:cs="Arial"/>
        </w:rPr>
        <w:t>ara entender los límites y alcances de esta restricción, es oportuno recurrir al artículo 84 de la Ley del Trabajo de los Servidores Públicos del Estado y Municipios:</w:t>
      </w:r>
    </w:p>
    <w:p w14:paraId="51308E04"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 xml:space="preserve">“ARTÍCULO 84. </w:t>
      </w:r>
      <w:r w:rsidRPr="005C1591">
        <w:rPr>
          <w:rFonts w:ascii="Palatino Linotype" w:hAnsi="Palatino Linotype" w:cs="Arial"/>
          <w:bCs/>
          <w:i/>
          <w:noProof/>
          <w:sz w:val="22"/>
          <w:szCs w:val="22"/>
        </w:rPr>
        <w:t>Sólo podrán hacerse retenciones, descuentos o deducciones al sueldo de los servidores públicos por concepto de:</w:t>
      </w:r>
    </w:p>
    <w:p w14:paraId="4EC511E9"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 Gravámenes fiscales relacionados con el sueldo;</w:t>
      </w:r>
    </w:p>
    <w:p w14:paraId="794CE50B"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15FBC93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III. Cuotas sindicales;</w:t>
      </w:r>
    </w:p>
    <w:p w14:paraId="77620961"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070ED15E"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5E82B1D4"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56ECF213"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VII. Faltas de puntualidad o de asistencia injustificadas;</w:t>
      </w:r>
    </w:p>
    <w:p w14:paraId="5B0F977F"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
          <w:bCs/>
          <w:i/>
          <w:noProof/>
          <w:sz w:val="22"/>
          <w:szCs w:val="22"/>
        </w:rPr>
        <w:t>VIII. Pensiones alimenticias ordenadas por la autoridad judicial;</w:t>
      </w:r>
      <w:r w:rsidRPr="005C1591">
        <w:rPr>
          <w:rFonts w:ascii="Palatino Linotype" w:hAnsi="Palatino Linotype" w:cs="Arial"/>
          <w:bCs/>
          <w:i/>
          <w:noProof/>
          <w:sz w:val="22"/>
          <w:szCs w:val="22"/>
        </w:rPr>
        <w:t xml:space="preserve"> o</w:t>
      </w:r>
    </w:p>
    <w:p w14:paraId="0033BFC1" w14:textId="77777777" w:rsidR="004A59DD" w:rsidRPr="005C1591" w:rsidRDefault="004A59DD" w:rsidP="004A59DD">
      <w:pPr>
        <w:spacing w:after="120"/>
        <w:ind w:left="851" w:right="851"/>
        <w:contextualSpacing/>
        <w:jc w:val="both"/>
        <w:rPr>
          <w:rFonts w:ascii="Palatino Linotype" w:hAnsi="Palatino Linotype" w:cs="Arial"/>
          <w:b/>
          <w:bCs/>
          <w:i/>
          <w:noProof/>
          <w:sz w:val="22"/>
          <w:szCs w:val="22"/>
        </w:rPr>
      </w:pPr>
      <w:r w:rsidRPr="005C1591">
        <w:rPr>
          <w:rFonts w:ascii="Palatino Linotype" w:hAnsi="Palatino Linotype" w:cs="Arial"/>
          <w:b/>
          <w:bCs/>
          <w:i/>
          <w:noProof/>
          <w:sz w:val="22"/>
          <w:szCs w:val="22"/>
        </w:rPr>
        <w:t>IX. Cualquier otro convenido con instituciones de servicios y aceptado por el servidor público.</w:t>
      </w:r>
    </w:p>
    <w:p w14:paraId="5C4FEFB5" w14:textId="77777777" w:rsidR="004A59DD" w:rsidRPr="005C1591" w:rsidRDefault="004A59DD" w:rsidP="004A59DD">
      <w:pPr>
        <w:spacing w:after="120"/>
        <w:ind w:left="851" w:right="851"/>
        <w:contextualSpacing/>
        <w:jc w:val="both"/>
        <w:rPr>
          <w:rFonts w:ascii="Palatino Linotype" w:hAnsi="Palatino Linotype" w:cs="Arial"/>
          <w:bCs/>
          <w:i/>
          <w:noProof/>
          <w:sz w:val="22"/>
          <w:szCs w:val="22"/>
        </w:rPr>
      </w:pPr>
      <w:r w:rsidRPr="005C1591">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1ABCD1F" w14:textId="77777777" w:rsidR="004A59DD" w:rsidRPr="005C1591" w:rsidRDefault="004A59DD" w:rsidP="004A59DD">
      <w:pPr>
        <w:pStyle w:val="Sinespaciado"/>
        <w:spacing w:before="240" w:after="240" w:line="360" w:lineRule="auto"/>
        <w:jc w:val="both"/>
        <w:rPr>
          <w:rFonts w:ascii="Palatino Linotype" w:hAnsi="Palatino Linotype" w:cs="Arial"/>
        </w:rPr>
      </w:pPr>
      <w:r w:rsidRPr="005C1591">
        <w:rPr>
          <w:rFonts w:ascii="Palatino Linotype" w:hAnsi="Palatino Linotype" w:cs="Arial"/>
        </w:rPr>
        <w:t xml:space="preserve">Como se puede observar, la Ley del Trabajo de mérito establece claramente cuáles son esos descuentos o gravámenes que directamente se relacionan con las </w:t>
      </w:r>
      <w:r w:rsidRPr="005C1591">
        <w:rPr>
          <w:rFonts w:ascii="Palatino Linotype" w:hAnsi="Palatino Linotype" w:cs="Arial"/>
        </w:rPr>
        <w:lastRenderedPageBreak/>
        <w:t>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6E8E25F" w14:textId="77777777" w:rsidR="004A59DD" w:rsidRPr="007E5B97" w:rsidRDefault="004A59DD" w:rsidP="004A59DD">
      <w:pPr>
        <w:spacing w:before="240" w:after="240" w:line="360" w:lineRule="auto"/>
        <w:jc w:val="both"/>
        <w:rPr>
          <w:rFonts w:ascii="Palatino Linotype" w:hAnsi="Palatino Linotype" w:cs="Arial"/>
        </w:rPr>
      </w:pPr>
      <w:r w:rsidRPr="00D73A46">
        <w:rPr>
          <w:rFonts w:ascii="Palatino Linotype" w:hAnsi="Palatino Linotype" w:cs="Arial"/>
        </w:rPr>
        <w:t>De esta manera, la entrega de documentos en su versión pública debe acompañarse necesariamente del Acuerdo del Comité de Transparencia que la sustente, en el que se expongan los fundamentos y razonamientos</w:t>
      </w:r>
      <w:r w:rsidRPr="007E5B97">
        <w:rPr>
          <w:rFonts w:ascii="Palatino Linotype" w:hAnsi="Palatino Linotype" w:cs="Arial"/>
        </w:rPr>
        <w:t xml:space="preserve">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4134A0" w14:textId="77777777" w:rsidR="004A59DD" w:rsidRPr="005C1591" w:rsidRDefault="004A59DD" w:rsidP="004A59DD">
      <w:pPr>
        <w:pStyle w:val="Prrafodelista"/>
        <w:spacing w:before="240" w:after="240" w:line="360" w:lineRule="auto"/>
        <w:ind w:left="0"/>
        <w:jc w:val="both"/>
        <w:rPr>
          <w:rFonts w:ascii="Palatino Linotype" w:hAnsi="Palatino Linotype" w:cs="Arial"/>
          <w:iCs/>
        </w:rPr>
      </w:pPr>
      <w:r w:rsidRPr="005C1591">
        <w:rPr>
          <w:rFonts w:ascii="Palatino Linotype" w:hAnsi="Palatino Linotype" w:cs="Arial"/>
        </w:rPr>
        <w:t>Entonces, el Sujeto Obligado debe seguir el procedimiento legal establecido para su declaración,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C1591">
        <w:rPr>
          <w:rFonts w:ascii="Palatino Linotype" w:hAnsi="Palatino Linotype" w:cs="Arial"/>
          <w:iCs/>
        </w:rPr>
        <w:t>, que son del siguiente tenor:</w:t>
      </w:r>
    </w:p>
    <w:p w14:paraId="238CAE0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481B30">
        <w:rPr>
          <w:rFonts w:ascii="Palatino Linotype" w:hAnsi="Palatino Linotype" w:cs="Arial"/>
          <w:i/>
          <w:iCs/>
          <w:sz w:val="20"/>
          <w:szCs w:val="20"/>
        </w:rPr>
        <w:t>“</w:t>
      </w:r>
      <w:r w:rsidRPr="005C1591">
        <w:rPr>
          <w:rFonts w:ascii="Palatino Linotype" w:hAnsi="Palatino Linotype" w:cs="Arial"/>
          <w:b/>
          <w:i/>
          <w:iCs/>
        </w:rPr>
        <w:t>Artículo 137.</w:t>
      </w:r>
      <w:r w:rsidRPr="005C1591">
        <w:rPr>
          <w:rFonts w:ascii="Palatino Linotype" w:hAnsi="Palatino Linotype" w:cs="Arial"/>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FC019A"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lastRenderedPageBreak/>
        <w:t>Artículo 143.</w:t>
      </w:r>
      <w:r w:rsidRPr="005C1591">
        <w:rPr>
          <w:rFonts w:ascii="Palatino Linotype" w:hAnsi="Palatino Linotype" w:cs="Arial"/>
          <w:i/>
          <w:iCs/>
        </w:rPr>
        <w:t xml:space="preserve"> Para los efectos de esta Ley se considera información confidencial, la clasificada como tal, de manera permanente, por su naturaleza, cuando:</w:t>
      </w:r>
    </w:p>
    <w:p w14:paraId="6CD655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w:t>
      </w:r>
      <w:r w:rsidRPr="005C1591">
        <w:rPr>
          <w:rFonts w:ascii="Palatino Linotype" w:hAnsi="Palatino Linotype" w:cs="Arial"/>
          <w:i/>
          <w:iCs/>
        </w:rPr>
        <w:t xml:space="preserve"> Se refiera a la información privada y los datos personales concernientes a una persona física o </w:t>
      </w:r>
      <w:proofErr w:type="gramStart"/>
      <w:r w:rsidRPr="005C1591">
        <w:rPr>
          <w:rFonts w:ascii="Palatino Linotype" w:hAnsi="Palatino Linotype" w:cs="Arial"/>
          <w:i/>
          <w:iCs/>
        </w:rPr>
        <w:t>jurídico</w:t>
      </w:r>
      <w:proofErr w:type="gramEnd"/>
      <w:r w:rsidRPr="005C1591">
        <w:rPr>
          <w:rFonts w:ascii="Palatino Linotype" w:hAnsi="Palatino Linotype" w:cs="Arial"/>
          <w:i/>
          <w:iCs/>
        </w:rPr>
        <w:t xml:space="preserve"> colectiva identificada o identificable; </w:t>
      </w:r>
    </w:p>
    <w:p w14:paraId="75952074"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w:t>
      </w:r>
      <w:r w:rsidRPr="005C1591">
        <w:rPr>
          <w:rFonts w:ascii="Palatino Linotype" w:hAnsi="Palatino Linotype" w:cs="Arial"/>
          <w:i/>
          <w:iCs/>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0AFC5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b/>
          <w:i/>
          <w:iCs/>
        </w:rPr>
        <w:t>III.</w:t>
      </w:r>
      <w:r w:rsidRPr="005C1591">
        <w:rPr>
          <w:rFonts w:ascii="Palatino Linotype" w:hAnsi="Palatino Linotype" w:cs="Arial"/>
          <w:i/>
          <w:iCs/>
        </w:rPr>
        <w:t xml:space="preserve"> La que presenten los particulares a los sujetos obligados, de conformidad con lo dispuesto por las leyes o los tratados internacionales. </w:t>
      </w:r>
    </w:p>
    <w:p w14:paraId="417FC610"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 xml:space="preserve">La información confidencial no estará sujeta a temporalidad alguna y sólo podrán tener acceso a ella los titulares de la misma, sus representantes y los servidores públicos facultados para ello. </w:t>
      </w:r>
    </w:p>
    <w:p w14:paraId="5DDE24A9" w14:textId="77777777" w:rsidR="004A59DD" w:rsidRPr="005C1591" w:rsidRDefault="004A59DD" w:rsidP="004A59DD">
      <w:pPr>
        <w:pStyle w:val="Prrafodelista"/>
        <w:spacing w:before="240" w:after="240"/>
        <w:ind w:left="567"/>
        <w:contextualSpacing/>
        <w:jc w:val="both"/>
        <w:rPr>
          <w:rFonts w:ascii="Palatino Linotype" w:hAnsi="Palatino Linotype" w:cs="Arial"/>
          <w:i/>
          <w:iCs/>
        </w:rPr>
      </w:pPr>
      <w:r w:rsidRPr="005C1591">
        <w:rPr>
          <w:rFonts w:ascii="Palatino Linotype" w:hAnsi="Palatino Linotype" w:cs="Arial"/>
          <w:i/>
          <w:iCs/>
        </w:rPr>
        <w:t>No se considerará confidencial la información que se encuentre en los registros públicos o en fuentes de acceso público, ni tampoco la que sea considerada por la presente ley como información pública.</w:t>
      </w:r>
    </w:p>
    <w:p w14:paraId="2E3140DC" w14:textId="77777777" w:rsidR="004A59DD" w:rsidRPr="005C1591" w:rsidRDefault="004A59DD" w:rsidP="004A59DD">
      <w:pPr>
        <w:pStyle w:val="Prrafodelista"/>
        <w:spacing w:before="240" w:after="240"/>
        <w:ind w:left="567"/>
        <w:contextualSpacing/>
        <w:jc w:val="both"/>
        <w:rPr>
          <w:rFonts w:ascii="Palatino Linotype" w:hAnsi="Palatino Linotype" w:cs="Arial"/>
        </w:rPr>
      </w:pPr>
      <w:r w:rsidRPr="005C1591">
        <w:rPr>
          <w:rFonts w:ascii="Palatino Linotype" w:hAnsi="Palatino Linotype" w:cs="Arial"/>
          <w:b/>
          <w:i/>
        </w:rPr>
        <w:t>Artículo 149.</w:t>
      </w:r>
      <w:r w:rsidRPr="005C1591">
        <w:rPr>
          <w:rFonts w:ascii="Palatino Linotype" w:hAnsi="Palatino Linotype" w:cs="Arial"/>
          <w:i/>
        </w:rPr>
        <w:t xml:space="preserve"> El acuerdo que clasifique la información como confidencial deberá contener un razonamiento lógico en el que demuestre que la información se encuentra en alguna o algunas de las hipótesis previstas en la presente Ley.” (Sic)</w:t>
      </w:r>
    </w:p>
    <w:p w14:paraId="32920D1E" w14:textId="77777777" w:rsidR="004A59DD" w:rsidRDefault="004A59DD" w:rsidP="004A59DD">
      <w:pPr>
        <w:spacing w:before="240" w:after="240" w:line="360" w:lineRule="auto"/>
        <w:jc w:val="both"/>
        <w:rPr>
          <w:rFonts w:ascii="Palatino Linotype" w:hAnsi="Palatino Linotype" w:cs="Arial"/>
        </w:rPr>
      </w:pPr>
      <w:r w:rsidRPr="0074668D">
        <w:rPr>
          <w:rFonts w:ascii="Palatino Linotype" w:hAnsi="Palatino Linotype" w:cs="Arial"/>
        </w:rPr>
        <w:t xml:space="preserve">De este modo, como ha </w:t>
      </w:r>
      <w:r>
        <w:rPr>
          <w:rFonts w:ascii="Palatino Linotype" w:hAnsi="Palatino Linotype" w:cs="Arial"/>
        </w:rPr>
        <w:t>sido</w:t>
      </w:r>
      <w:r w:rsidRPr="0074668D">
        <w:rPr>
          <w:rFonts w:ascii="Palatino Linotype" w:hAnsi="Palatino Linotype" w:cs="Arial"/>
        </w:rPr>
        <w:t xml:space="preserve">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280DFF88" w14:textId="77777777" w:rsidR="004A59DD" w:rsidRPr="001863D2" w:rsidRDefault="004A59DD" w:rsidP="00930747">
      <w:pPr>
        <w:spacing w:before="240" w:after="360" w:line="276" w:lineRule="auto"/>
        <w:jc w:val="both"/>
        <w:rPr>
          <w:rFonts w:ascii="Palatino Linotype" w:hAnsi="Palatino Linotype" w:cs="Arial"/>
          <w:bCs/>
          <w:iCs/>
          <w:color w:val="222222"/>
          <w:lang w:val="es-MX" w:eastAsia="es-MX"/>
        </w:rPr>
      </w:pPr>
      <w:r w:rsidRPr="001863D2">
        <w:rPr>
          <w:rFonts w:ascii="Palatino Linotype" w:hAnsi="Palatino Linotype" w:cs="Arial"/>
        </w:rPr>
        <w:t xml:space="preserve">Asimismo, deberá observar lo que para tal efecto señalen los </w:t>
      </w:r>
      <w:r w:rsidRPr="001863D2">
        <w:rPr>
          <w:rFonts w:ascii="Palatino Linotype" w:hAnsi="Palatino Linotype" w:cs="Arial"/>
          <w:bCs/>
          <w:iCs/>
          <w:color w:val="222222"/>
          <w:lang w:eastAsia="es-MX"/>
        </w:rPr>
        <w:t>Lineamientos Generale</w:t>
      </w:r>
      <w:r>
        <w:rPr>
          <w:rFonts w:ascii="Palatino Linotype" w:hAnsi="Palatino Linotype" w:cs="Arial"/>
          <w:bCs/>
          <w:iCs/>
          <w:color w:val="222222"/>
          <w:lang w:eastAsia="es-MX"/>
        </w:rPr>
        <w:t xml:space="preserve">s en Materia de Clasificación y </w:t>
      </w:r>
      <w:r w:rsidRPr="001863D2">
        <w:rPr>
          <w:rFonts w:ascii="Palatino Linotype" w:hAnsi="Palatino Linotype" w:cs="Arial"/>
          <w:bCs/>
          <w:iCs/>
          <w:color w:val="222222"/>
          <w:lang w:eastAsia="es-MX"/>
        </w:rPr>
        <w:t>Desclasificació</w:t>
      </w:r>
      <w:r>
        <w:rPr>
          <w:rFonts w:ascii="Palatino Linotype" w:hAnsi="Palatino Linotype" w:cs="Arial"/>
          <w:bCs/>
          <w:iCs/>
          <w:color w:val="222222"/>
          <w:lang w:eastAsia="es-MX"/>
        </w:rPr>
        <w:t xml:space="preserve">n de la Información, así </w:t>
      </w:r>
      <w:r w:rsidRPr="001863D2">
        <w:rPr>
          <w:rFonts w:ascii="Palatino Linotype" w:hAnsi="Palatino Linotype" w:cs="Arial"/>
          <w:bCs/>
          <w:iCs/>
          <w:color w:val="222222"/>
          <w:lang w:eastAsia="es-MX"/>
        </w:rPr>
        <w:t xml:space="preserve">como para la elaboración de Versiones Públicas, que fueron expedidos por el </w:t>
      </w:r>
      <w:r w:rsidRPr="001863D2">
        <w:rPr>
          <w:rFonts w:ascii="Palatino Linotype" w:hAnsi="Palatino Linotype" w:cs="Arial"/>
          <w:bCs/>
          <w:iCs/>
          <w:color w:val="222222"/>
          <w:lang w:val="es-MX" w:eastAsia="es-MX"/>
        </w:rPr>
        <w:t>Consejo Nacional del Sistema Nacional de Transparencia, Acceso a la Información Pública y Protección de Datos Personales, que dicen:</w:t>
      </w:r>
    </w:p>
    <w:p w14:paraId="3C10D0C2" w14:textId="77777777" w:rsidR="004A59DD" w:rsidRPr="001863D2" w:rsidRDefault="004A59DD" w:rsidP="00930747">
      <w:pPr>
        <w:spacing w:after="360" w:line="276" w:lineRule="auto"/>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“Cuarto.</w:t>
      </w:r>
      <w:r>
        <w:rPr>
          <w:rFonts w:ascii="Palatino Linotype" w:hAnsi="Palatino Linotype" w:cs="Arial"/>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 xml:space="preserve">Para clasificar la información como reservada o confidencial, de manera total o parcial, el titular del área del sujeto obligado deberá atender lo dispuesto por el Título Sexto de la Ley General, en </w:t>
      </w:r>
      <w:r w:rsidRPr="001863D2">
        <w:rPr>
          <w:rFonts w:ascii="Palatino Linotype" w:hAnsi="Palatino Linotype" w:cs="Arial"/>
          <w:i/>
          <w:iCs/>
          <w:color w:val="222222"/>
          <w:sz w:val="20"/>
          <w:szCs w:val="20"/>
          <w:u w:val="single"/>
          <w:lang w:val="es-MX" w:eastAsia="es-MX"/>
        </w:rPr>
        <w:lastRenderedPageBreak/>
        <w:t xml:space="preserve">relación con las disposiciones contenidas en los presentes lineamientos, así como en aquellas </w:t>
      </w:r>
      <w:r>
        <w:rPr>
          <w:rFonts w:ascii="Palatino Linotype" w:hAnsi="Palatino Linotype" w:cs="Arial"/>
          <w:i/>
          <w:iCs/>
          <w:color w:val="222222"/>
          <w:sz w:val="20"/>
          <w:szCs w:val="20"/>
          <w:u w:val="single"/>
          <w:lang w:val="es-MX" w:eastAsia="es-MX"/>
        </w:rPr>
        <w:t xml:space="preserve">disposiciones legales </w:t>
      </w:r>
      <w:r w:rsidRPr="001863D2">
        <w:rPr>
          <w:rFonts w:ascii="Palatino Linotype" w:hAnsi="Palatino Linotype" w:cs="Arial"/>
          <w:i/>
          <w:iCs/>
          <w:color w:val="222222"/>
          <w:sz w:val="20"/>
          <w:szCs w:val="20"/>
          <w:u w:val="single"/>
          <w:lang w:val="es-MX" w:eastAsia="es-MX"/>
        </w:rPr>
        <w:t>aplicables a la materia en el ámbito de sus respectivas competencias</w:t>
      </w:r>
      <w:r w:rsidRPr="001863D2">
        <w:rPr>
          <w:rFonts w:ascii="Palatino Linotype" w:hAnsi="Palatino Linotype" w:cs="Arial"/>
          <w:i/>
          <w:iCs/>
          <w:color w:val="222222"/>
          <w:sz w:val="20"/>
          <w:szCs w:val="20"/>
          <w:lang w:val="es-MX" w:eastAsia="es-MX"/>
        </w:rPr>
        <w:t>, en tanto estas últimas no contravengan lo dispuesto en la Ley General.</w:t>
      </w:r>
    </w:p>
    <w:p w14:paraId="6C257FD6" w14:textId="77777777" w:rsidR="004A59DD" w:rsidRPr="001863D2" w:rsidRDefault="004A59DD" w:rsidP="00930747">
      <w:pPr>
        <w:shd w:val="clear" w:color="auto" w:fill="FFFFFF"/>
        <w:spacing w:before="240" w:after="240" w:line="276" w:lineRule="auto"/>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Los sujetos obligados deberán aplicar, de manera estricta, las excepciones al derecho de acceso a la información y sólo podrán invocarlas cuando acrediten su procedencia.</w:t>
      </w:r>
    </w:p>
    <w:p w14:paraId="75A61B04" w14:textId="77777777" w:rsidR="004A59DD" w:rsidRPr="001863D2" w:rsidRDefault="004A59DD" w:rsidP="00930747">
      <w:pPr>
        <w:shd w:val="clear" w:color="auto" w:fill="FFFFFF"/>
        <w:spacing w:before="240" w:after="240" w:line="276" w:lineRule="auto"/>
        <w:ind w:left="567"/>
        <w:contextualSpacing/>
        <w:jc w:val="both"/>
        <w:rPr>
          <w:rFonts w:ascii="Arial" w:hAnsi="Arial" w:cs="Arial"/>
          <w:color w:val="222222"/>
          <w:sz w:val="20"/>
          <w:szCs w:val="20"/>
          <w:lang w:val="es-MX" w:eastAsia="es-MX"/>
        </w:rPr>
      </w:pPr>
      <w:r w:rsidRPr="001863D2">
        <w:rPr>
          <w:rFonts w:ascii="Palatino Linotype" w:hAnsi="Palatino Linotype" w:cs="Arial"/>
          <w:i/>
          <w:iCs/>
          <w:color w:val="222222"/>
          <w:sz w:val="20"/>
          <w:szCs w:val="20"/>
          <w:lang w:val="es-MX" w:eastAsia="es-MX"/>
        </w:rPr>
        <w:t>…</w:t>
      </w:r>
    </w:p>
    <w:p w14:paraId="00676669" w14:textId="77777777" w:rsidR="004A59DD" w:rsidRPr="001863D2" w:rsidRDefault="004A59DD" w:rsidP="00930747">
      <w:pPr>
        <w:shd w:val="clear" w:color="auto" w:fill="FFFFFF"/>
        <w:spacing w:before="240" w:after="240" w:line="276" w:lineRule="auto"/>
        <w:ind w:left="567"/>
        <w:contextualSpacing/>
        <w:jc w:val="both"/>
        <w:rPr>
          <w:rFonts w:ascii="Arial" w:hAnsi="Arial" w:cs="Arial"/>
          <w:color w:val="222222"/>
          <w:sz w:val="20"/>
          <w:szCs w:val="20"/>
          <w:lang w:val="es-MX" w:eastAsia="es-MX"/>
        </w:rPr>
      </w:pPr>
      <w:r w:rsidRPr="001863D2">
        <w:rPr>
          <w:rFonts w:ascii="Palatino Linotype" w:hAnsi="Palatino Linotype" w:cs="Arial"/>
          <w:b/>
          <w:bCs/>
          <w:i/>
          <w:iCs/>
          <w:color w:val="222222"/>
          <w:sz w:val="20"/>
          <w:szCs w:val="20"/>
          <w:lang w:val="es-MX" w:eastAsia="es-MX"/>
        </w:rPr>
        <w:t>Quinto.</w:t>
      </w:r>
      <w:r>
        <w:rPr>
          <w:rFonts w:ascii="Palatino Linotype" w:hAnsi="Palatino Linotype" w:cs="Arial"/>
          <w:b/>
          <w:bCs/>
          <w:i/>
          <w:iCs/>
          <w:color w:val="222222"/>
          <w:sz w:val="20"/>
          <w:szCs w:val="20"/>
          <w:lang w:val="es-MX" w:eastAsia="es-MX"/>
        </w:rPr>
        <w:t xml:space="preserve"> </w:t>
      </w:r>
      <w:r w:rsidRPr="001863D2">
        <w:rPr>
          <w:rFonts w:ascii="Palatino Linotype" w:hAnsi="Palatino Linotype" w:cs="Arial"/>
          <w:i/>
          <w:iCs/>
          <w:color w:val="222222"/>
          <w:sz w:val="20"/>
          <w:szCs w:val="20"/>
          <w:u w:val="single"/>
          <w:lang w:val="es-MX" w:eastAsia="es-MX"/>
        </w:rPr>
        <w:t>La carga de la prueba para justificar toda negativa de acceso a la información, por actualizarse cualquiera de los supuestos de clasificación previstos en la Ley General</w:t>
      </w:r>
      <w:r w:rsidRPr="001863D2">
        <w:rPr>
          <w:rFonts w:ascii="Palatino Linotype" w:hAnsi="Palatino Linotype" w:cs="Arial"/>
          <w:i/>
          <w:iCs/>
          <w:color w:val="222222"/>
          <w:sz w:val="20"/>
          <w:szCs w:val="20"/>
          <w:lang w:val="es-MX" w:eastAsia="es-MX"/>
        </w:rPr>
        <w:t>, la Ley Federal </w:t>
      </w:r>
      <w:r w:rsidRPr="001863D2">
        <w:rPr>
          <w:rFonts w:ascii="Palatino Linotype" w:hAnsi="Palatino Linotype" w:cs="Arial"/>
          <w:i/>
          <w:iCs/>
          <w:color w:val="222222"/>
          <w:sz w:val="20"/>
          <w:szCs w:val="20"/>
          <w:u w:val="single"/>
          <w:lang w:val="es-MX"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1863D2">
        <w:rPr>
          <w:rFonts w:ascii="Palatino Linotype" w:hAnsi="Palatino Linotype" w:cs="Arial"/>
          <w:i/>
          <w:iCs/>
          <w:color w:val="222222"/>
          <w:sz w:val="20"/>
          <w:szCs w:val="20"/>
          <w:lang w:val="es-MX" w:eastAsia="es-MX"/>
        </w:rPr>
        <w:t>, observando lo dispuesto en la Ley General y las demás disposiciones aplicables en la materia.</w:t>
      </w:r>
    </w:p>
    <w:p w14:paraId="19D08AA9" w14:textId="77777777" w:rsidR="004A59DD" w:rsidRPr="001863D2" w:rsidRDefault="004A59DD" w:rsidP="00930747">
      <w:pPr>
        <w:shd w:val="clear" w:color="auto" w:fill="FFFFFF"/>
        <w:spacing w:before="240" w:after="240" w:line="276" w:lineRule="auto"/>
        <w:ind w:left="567"/>
        <w:contextualSpacing/>
        <w:jc w:val="both"/>
        <w:rPr>
          <w:rFonts w:ascii="Arial" w:hAnsi="Arial" w:cs="Arial"/>
          <w:color w:val="222222"/>
          <w:sz w:val="20"/>
          <w:szCs w:val="20"/>
          <w:lang w:val="es-MX" w:eastAsia="es-MX"/>
        </w:rPr>
      </w:pPr>
      <w:r>
        <w:rPr>
          <w:rFonts w:ascii="Palatino Linotype" w:hAnsi="Palatino Linotype" w:cs="Arial"/>
          <w:b/>
          <w:bCs/>
          <w:i/>
          <w:iCs/>
          <w:color w:val="222222"/>
          <w:sz w:val="20"/>
          <w:szCs w:val="20"/>
          <w:lang w:val="es-MX" w:eastAsia="es-MX"/>
        </w:rPr>
        <w:t xml:space="preserve">Octavo. </w:t>
      </w:r>
      <w:r w:rsidRPr="001863D2">
        <w:rPr>
          <w:rFonts w:ascii="Palatino Linotype" w:hAnsi="Palatino Linotype" w:cs="Arial"/>
          <w:bCs/>
          <w:i/>
          <w:iCs/>
          <w:color w:val="222222"/>
          <w:sz w:val="20"/>
          <w:szCs w:val="20"/>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1863D2">
        <w:rPr>
          <w:rFonts w:ascii="Palatino Linotype" w:hAnsi="Palatino Linotype" w:cs="Arial"/>
          <w:i/>
          <w:iCs/>
          <w:color w:val="222222"/>
          <w:sz w:val="20"/>
          <w:szCs w:val="20"/>
          <w:lang w:val="es-MX" w:eastAsia="es-MX"/>
        </w:rPr>
        <w:t>.</w:t>
      </w:r>
    </w:p>
    <w:p w14:paraId="706437EE" w14:textId="77777777" w:rsidR="004A59DD" w:rsidRDefault="004A59DD" w:rsidP="00930747">
      <w:pPr>
        <w:shd w:val="clear" w:color="auto" w:fill="FFFFFF"/>
        <w:spacing w:before="240" w:after="240" w:line="276" w:lineRule="auto"/>
        <w:ind w:left="567"/>
        <w:contextualSpacing/>
        <w:jc w:val="both"/>
        <w:rPr>
          <w:rFonts w:ascii="Palatino Linotype" w:hAnsi="Palatino Linotype" w:cs="Arial"/>
          <w:i/>
          <w:iCs/>
          <w:color w:val="222222"/>
          <w:sz w:val="20"/>
          <w:szCs w:val="20"/>
          <w:lang w:val="es-MX" w:eastAsia="es-MX"/>
        </w:rPr>
      </w:pPr>
      <w:r w:rsidRPr="001863D2">
        <w:rPr>
          <w:rFonts w:ascii="Palatino Linotype" w:hAnsi="Palatino Linotype" w:cs="Arial"/>
          <w:bCs/>
          <w:i/>
          <w:iCs/>
          <w:color w:val="222222"/>
          <w:sz w:val="20"/>
          <w:szCs w:val="20"/>
          <w:u w:val="single"/>
          <w:lang w:val="es-MX" w:eastAsia="es-MX"/>
        </w:rPr>
        <w:t>Para motivar la clasificación se deberán señalar las razones o circunstancias especiales que lo llevaron a concluir que el caso particular se ajusta al supuesto previsto por la norma legal invocada como fundamento</w:t>
      </w:r>
      <w:r>
        <w:rPr>
          <w:rFonts w:ascii="Palatino Linotype" w:hAnsi="Palatino Linotype" w:cs="Arial"/>
          <w:bCs/>
          <w:i/>
          <w:iCs/>
          <w:color w:val="222222"/>
          <w:sz w:val="20"/>
          <w:szCs w:val="20"/>
          <w:u w:val="single"/>
          <w:lang w:val="es-MX" w:eastAsia="es-MX"/>
        </w:rPr>
        <w:t>.</w:t>
      </w:r>
      <w:r>
        <w:rPr>
          <w:rFonts w:ascii="Palatino Linotype" w:hAnsi="Palatino Linotype" w:cs="Arial"/>
          <w:i/>
          <w:iCs/>
          <w:color w:val="222222"/>
          <w:sz w:val="20"/>
          <w:szCs w:val="20"/>
          <w:lang w:val="es-MX" w:eastAsia="es-MX"/>
        </w:rPr>
        <w:t>” (Sic)</w:t>
      </w:r>
    </w:p>
    <w:p w14:paraId="4FC2990E" w14:textId="77777777" w:rsidR="004A59DD" w:rsidRPr="001863D2" w:rsidRDefault="004A59DD" w:rsidP="004A59DD">
      <w:pPr>
        <w:shd w:val="clear" w:color="auto" w:fill="FFFFFF"/>
        <w:spacing w:before="240" w:after="240"/>
        <w:ind w:left="567"/>
        <w:contextualSpacing/>
        <w:jc w:val="both"/>
        <w:rPr>
          <w:rFonts w:ascii="Arial" w:hAnsi="Arial" w:cs="Arial"/>
          <w:color w:val="222222"/>
          <w:sz w:val="20"/>
          <w:szCs w:val="20"/>
          <w:lang w:val="es-MX" w:eastAsia="es-MX"/>
        </w:rPr>
      </w:pP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fracción VII, 181, 185 de la Ley de Transparencia y Acceso a la Información Pública del Estado de México y Municipios, este Pleno:</w:t>
      </w:r>
    </w:p>
    <w:p w14:paraId="2EA7FF4B" w14:textId="77777777" w:rsidR="00930747" w:rsidRDefault="00930747" w:rsidP="00351CB3">
      <w:pPr>
        <w:spacing w:before="240" w:after="240" w:line="360" w:lineRule="auto"/>
        <w:contextualSpacing/>
        <w:jc w:val="both"/>
        <w:rPr>
          <w:rFonts w:ascii="Palatino Linotype" w:hAnsi="Palatino Linotype" w:cs="Arial"/>
        </w:rPr>
      </w:pPr>
    </w:p>
    <w:p w14:paraId="66A42C43" w14:textId="77777777" w:rsidR="00351CB3" w:rsidRDefault="00351CB3" w:rsidP="0096195A">
      <w:pPr>
        <w:pStyle w:val="Prrafodelista"/>
        <w:numPr>
          <w:ilvl w:val="0"/>
          <w:numId w:val="1"/>
        </w:numPr>
        <w:spacing w:before="240" w:after="240" w:line="360" w:lineRule="auto"/>
        <w:contextualSpacing/>
        <w:jc w:val="center"/>
        <w:rPr>
          <w:rFonts w:ascii="Palatino Linotype" w:hAnsi="Palatino Linotype" w:cs="Arial"/>
          <w:b/>
        </w:rPr>
      </w:pPr>
      <w:r>
        <w:rPr>
          <w:rFonts w:ascii="Palatino Linotype" w:hAnsi="Palatino Linotype" w:cs="Arial"/>
          <w:b/>
        </w:rPr>
        <w:t>R E S U E L V E:</w:t>
      </w:r>
    </w:p>
    <w:p w14:paraId="22913754" w14:textId="63D17399" w:rsidR="009D4E4B" w:rsidRPr="00652298" w:rsidRDefault="00351CB3" w:rsidP="00351CB3">
      <w:pPr>
        <w:spacing w:before="240" w:after="240" w:line="360" w:lineRule="auto"/>
        <w:jc w:val="both"/>
        <w:rPr>
          <w:rFonts w:ascii="Palatino Linotype" w:hAnsi="Palatino Linotype" w:cs="Arial"/>
          <w:b/>
        </w:rPr>
      </w:pPr>
      <w:r w:rsidRPr="00652298">
        <w:rPr>
          <w:rFonts w:ascii="Palatino Linotype" w:hAnsi="Palatino Linotype" w:cs="Arial"/>
          <w:b/>
        </w:rPr>
        <w:t xml:space="preserve">Primero. </w:t>
      </w:r>
      <w:r w:rsidR="009D4E4B" w:rsidRPr="00652298">
        <w:rPr>
          <w:rFonts w:ascii="Palatino Linotype" w:hAnsi="Palatino Linotype"/>
        </w:rPr>
        <w:t xml:space="preserve">Resultan </w:t>
      </w:r>
      <w:r w:rsidR="009D4E4B" w:rsidRPr="00652298">
        <w:rPr>
          <w:rFonts w:ascii="Palatino Linotype" w:hAnsi="Palatino Linotype" w:cs="Arial"/>
          <w:b/>
        </w:rPr>
        <w:t>fundadas</w:t>
      </w:r>
      <w:r w:rsidR="009D4E4B" w:rsidRPr="00652298">
        <w:rPr>
          <w:rFonts w:ascii="Palatino Linotype" w:hAnsi="Palatino Linotype" w:cs="Arial"/>
        </w:rPr>
        <w:t xml:space="preserve"> las razones o motivos de la inconformidad planteadas</w:t>
      </w:r>
      <w:r w:rsidR="0041371C" w:rsidRPr="00652298">
        <w:rPr>
          <w:rFonts w:ascii="Palatino Linotype" w:hAnsi="Palatino Linotype" w:cs="Arial"/>
        </w:rPr>
        <w:t xml:space="preserve"> por el</w:t>
      </w:r>
      <w:r w:rsidR="009D4E4B" w:rsidRPr="00652298">
        <w:rPr>
          <w:rFonts w:ascii="Palatino Linotype" w:hAnsi="Palatino Linotype" w:cs="Arial"/>
          <w:b/>
        </w:rPr>
        <w:t xml:space="preserve"> RECURRENTE</w:t>
      </w:r>
      <w:r w:rsidR="009D4E4B" w:rsidRPr="00652298">
        <w:rPr>
          <w:rFonts w:ascii="Palatino Linotype" w:hAnsi="Palatino Linotype" w:cs="Arial"/>
        </w:rPr>
        <w:t xml:space="preserve"> </w:t>
      </w:r>
      <w:r w:rsidR="009D4E4B" w:rsidRPr="00652298">
        <w:rPr>
          <w:rFonts w:ascii="Palatino Linotype" w:hAnsi="Palatino Linotype" w:cs="Arial"/>
          <w:lang w:val="es-MX"/>
        </w:rPr>
        <w:t xml:space="preserve">en términos del Considerando </w:t>
      </w:r>
      <w:r w:rsidR="00652298" w:rsidRPr="00652298">
        <w:rPr>
          <w:rFonts w:ascii="Palatino Linotype" w:hAnsi="Palatino Linotype" w:cs="Arial"/>
          <w:b/>
          <w:lang w:val="es-MX"/>
        </w:rPr>
        <w:t>QUINTO</w:t>
      </w:r>
      <w:r w:rsidR="009D4E4B" w:rsidRPr="00652298">
        <w:rPr>
          <w:rFonts w:ascii="Palatino Linotype" w:hAnsi="Palatino Linotype" w:cs="Arial"/>
          <w:lang w:val="es-MX"/>
        </w:rPr>
        <w:t xml:space="preserve"> de esta Resolución</w:t>
      </w:r>
      <w:r w:rsidR="009D4E4B" w:rsidRPr="00652298">
        <w:rPr>
          <w:rFonts w:ascii="Palatino Linotype" w:hAnsi="Palatino Linotype" w:cs="Arial"/>
          <w:b/>
        </w:rPr>
        <w:t>.</w:t>
      </w:r>
    </w:p>
    <w:p w14:paraId="41F49614" w14:textId="10B6123E" w:rsidR="0041371C" w:rsidRDefault="00351CB3" w:rsidP="0041371C">
      <w:pPr>
        <w:spacing w:before="240" w:after="240" w:line="360" w:lineRule="auto"/>
        <w:contextualSpacing/>
        <w:jc w:val="both"/>
        <w:rPr>
          <w:rFonts w:ascii="Palatino Linotype" w:hAnsi="Palatino Linotype"/>
        </w:rPr>
      </w:pPr>
      <w:r w:rsidRPr="00652298">
        <w:rPr>
          <w:rFonts w:ascii="Palatino Linotype" w:hAnsi="Palatino Linotype" w:cs="Arial"/>
          <w:b/>
        </w:rPr>
        <w:lastRenderedPageBreak/>
        <w:t xml:space="preserve">Segundo. </w:t>
      </w:r>
      <w:r w:rsidR="00D21F8C" w:rsidRPr="00652298">
        <w:rPr>
          <w:rFonts w:ascii="Palatino Linotype" w:hAnsi="Palatino Linotype" w:cs="Arial"/>
          <w:b/>
        </w:rPr>
        <w:t>S</w:t>
      </w:r>
      <w:r w:rsidRPr="00652298">
        <w:rPr>
          <w:rFonts w:ascii="Palatino Linotype" w:hAnsi="Palatino Linotype" w:cs="Arial"/>
        </w:rPr>
        <w:t>e</w:t>
      </w:r>
      <w:r w:rsidRPr="00652298">
        <w:rPr>
          <w:rFonts w:ascii="Palatino Linotype" w:hAnsi="Palatino Linotype" w:cs="Arial"/>
          <w:b/>
        </w:rPr>
        <w:t xml:space="preserve"> </w:t>
      </w:r>
      <w:r w:rsidRPr="00652298">
        <w:rPr>
          <w:rFonts w:ascii="Palatino Linotype" w:hAnsi="Palatino Linotype"/>
          <w:b/>
        </w:rPr>
        <w:t xml:space="preserve">ORDENA </w:t>
      </w:r>
      <w:r w:rsidRPr="00652298">
        <w:rPr>
          <w:rFonts w:ascii="Palatino Linotype" w:hAnsi="Palatino Linotype"/>
        </w:rPr>
        <w:t xml:space="preserve">al </w:t>
      </w:r>
      <w:r w:rsidRPr="00652298">
        <w:rPr>
          <w:rFonts w:ascii="Palatino Linotype" w:hAnsi="Palatino Linotype"/>
          <w:b/>
        </w:rPr>
        <w:t>Sujeto Obligado</w:t>
      </w:r>
      <w:r w:rsidRPr="00652298">
        <w:rPr>
          <w:rFonts w:ascii="Palatino Linotype" w:hAnsi="Palatino Linotype"/>
        </w:rPr>
        <w:t xml:space="preserve"> a que</w:t>
      </w:r>
      <w:r w:rsidRPr="00652298">
        <w:rPr>
          <w:rFonts w:ascii="Palatino Linotype" w:hAnsi="Palatino Linotype"/>
          <w:b/>
        </w:rPr>
        <w:t xml:space="preserve"> </w:t>
      </w:r>
      <w:r w:rsidRPr="00652298">
        <w:rPr>
          <w:rFonts w:ascii="Palatino Linotype" w:hAnsi="Palatino Linotype"/>
        </w:rPr>
        <w:t>en términos de</w:t>
      </w:r>
      <w:r w:rsidR="00F42A20" w:rsidRPr="00652298">
        <w:rPr>
          <w:rFonts w:ascii="Palatino Linotype" w:hAnsi="Palatino Linotype"/>
        </w:rPr>
        <w:t>l Considerando</w:t>
      </w:r>
      <w:r w:rsidRPr="00652298">
        <w:rPr>
          <w:rFonts w:ascii="Palatino Linotype" w:hAnsi="Palatino Linotype"/>
        </w:rPr>
        <w:t xml:space="preserve"> </w:t>
      </w:r>
      <w:r w:rsidR="00795195">
        <w:rPr>
          <w:rFonts w:ascii="Palatino Linotype" w:hAnsi="Palatino Linotype"/>
        </w:rPr>
        <w:t>Quito</w:t>
      </w:r>
      <w:r w:rsidR="00D335D0" w:rsidRPr="00652298">
        <w:rPr>
          <w:rFonts w:ascii="Palatino Linotype" w:hAnsi="Palatino Linotype"/>
        </w:rPr>
        <w:t>, haga entrega vía SAIMEX,</w:t>
      </w:r>
      <w:r w:rsidRPr="00652298">
        <w:rPr>
          <w:rFonts w:ascii="Palatino Linotype" w:hAnsi="Palatino Linotype"/>
        </w:rPr>
        <w:t xml:space="preserve"> </w:t>
      </w:r>
      <w:r w:rsidR="0041371C" w:rsidRPr="00652298">
        <w:rPr>
          <w:rFonts w:ascii="Palatino Linotype" w:hAnsi="Palatino Linotype"/>
        </w:rPr>
        <w:t>en versión pública del documento o documentos en donde conste lo siguiente:</w:t>
      </w:r>
    </w:p>
    <w:p w14:paraId="5F2E559B" w14:textId="70702F25" w:rsidR="0041371C" w:rsidRPr="005C1591" w:rsidRDefault="0041371C" w:rsidP="0096195A">
      <w:pPr>
        <w:pStyle w:val="Prrafodelista"/>
        <w:numPr>
          <w:ilvl w:val="0"/>
          <w:numId w:val="3"/>
        </w:numPr>
        <w:spacing w:before="240" w:after="240" w:line="360" w:lineRule="auto"/>
        <w:jc w:val="both"/>
        <w:rPr>
          <w:rFonts w:ascii="Palatino Linotype" w:hAnsi="Palatino Linotype"/>
          <w:b/>
          <w:lang w:val="es-MX" w:eastAsia="es-MX"/>
        </w:rPr>
      </w:pPr>
      <w:r w:rsidRPr="005C1591">
        <w:rPr>
          <w:rFonts w:ascii="Palatino Linotype" w:hAnsi="Palatino Linotype"/>
          <w:b/>
          <w:lang w:val="es-MX" w:eastAsia="es-MX"/>
        </w:rPr>
        <w:t>El salario bruto</w:t>
      </w:r>
      <w:r w:rsidR="00F42A20">
        <w:rPr>
          <w:rFonts w:ascii="Palatino Linotype" w:hAnsi="Palatino Linotype"/>
          <w:b/>
          <w:lang w:val="es-MX" w:eastAsia="es-MX"/>
        </w:rPr>
        <w:t xml:space="preserve"> y salario neto del Presidente</w:t>
      </w:r>
      <w:r w:rsidR="00795195">
        <w:rPr>
          <w:rFonts w:ascii="Palatino Linotype" w:hAnsi="Palatino Linotype"/>
          <w:b/>
          <w:lang w:val="es-MX" w:eastAsia="es-MX"/>
        </w:rPr>
        <w:t xml:space="preserve"> Municipal</w:t>
      </w:r>
      <w:r w:rsidR="00F42A20">
        <w:rPr>
          <w:rFonts w:ascii="Palatino Linotype" w:hAnsi="Palatino Linotype"/>
          <w:b/>
          <w:lang w:val="es-MX" w:eastAsia="es-MX"/>
        </w:rPr>
        <w:t>, Sindico  Regido</w:t>
      </w:r>
      <w:r w:rsidR="00930747">
        <w:rPr>
          <w:rFonts w:ascii="Palatino Linotype" w:hAnsi="Palatino Linotype"/>
          <w:b/>
          <w:lang w:val="es-MX" w:eastAsia="es-MX"/>
        </w:rPr>
        <w:t xml:space="preserve">res del Municipio de </w:t>
      </w:r>
      <w:proofErr w:type="spellStart"/>
      <w:r w:rsidR="00930747">
        <w:rPr>
          <w:rFonts w:ascii="Palatino Linotype" w:hAnsi="Palatino Linotype"/>
          <w:b/>
          <w:lang w:val="es-MX" w:eastAsia="es-MX"/>
        </w:rPr>
        <w:t>Nopaltepec</w:t>
      </w:r>
      <w:proofErr w:type="spellEnd"/>
      <w:r w:rsidR="00930747">
        <w:rPr>
          <w:rFonts w:ascii="Palatino Linotype" w:hAnsi="Palatino Linotype"/>
          <w:b/>
          <w:lang w:val="es-MX" w:eastAsia="es-MX"/>
        </w:rPr>
        <w:t xml:space="preserve"> correspondiente a los meses de septiembre y octubre de dos mil dieciocho.</w:t>
      </w:r>
    </w:p>
    <w:p w14:paraId="0F96FB12" w14:textId="77777777" w:rsidR="0041371C" w:rsidRPr="00DD366A" w:rsidRDefault="0041371C" w:rsidP="0041371C">
      <w:pPr>
        <w:spacing w:before="240" w:after="240" w:line="360" w:lineRule="auto"/>
        <w:jc w:val="both"/>
        <w:rPr>
          <w:rFonts w:ascii="Palatino Linotype" w:hAnsi="Palatino Linotype"/>
        </w:rPr>
      </w:pPr>
      <w:r w:rsidRPr="00DD366A">
        <w:rPr>
          <w:rFonts w:ascii="Palatino Linotype" w:hAnsi="Palatino Linotype"/>
        </w:rPr>
        <w:t>Debiendo</w:t>
      </w:r>
      <w:r>
        <w:rPr>
          <w:rFonts w:ascii="Palatino Linotype" w:hAnsi="Palatino Linotype"/>
        </w:rPr>
        <w:t xml:space="preserve"> acompañar</w:t>
      </w:r>
      <w:r w:rsidRPr="00DD366A">
        <w:rPr>
          <w:rFonts w:ascii="Palatino Linotype" w:hAnsi="Palatino Linotype"/>
        </w:rPr>
        <w:t xml:space="preserve">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336CC313" w14:textId="77777777" w:rsidR="0041371C" w:rsidRDefault="0041371C" w:rsidP="0041371C">
      <w:pPr>
        <w:spacing w:before="240" w:after="240" w:line="360" w:lineRule="auto"/>
        <w:contextualSpacing/>
        <w:jc w:val="both"/>
        <w:rPr>
          <w:rFonts w:ascii="Palatino Linotype" w:hAnsi="Palatino Linotype"/>
          <w:shd w:val="clear" w:color="auto" w:fill="FFFFFF"/>
        </w:rPr>
      </w:pPr>
      <w:r w:rsidRPr="00911351">
        <w:rPr>
          <w:rFonts w:ascii="Palatino Linotype" w:hAnsi="Palatino Linotype" w:cs="Arial"/>
          <w:b/>
          <w:bCs/>
          <w:shd w:val="clear" w:color="auto" w:fill="FFFFFF"/>
        </w:rPr>
        <w:t>Tercero. Remítase</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58776F1" w14:textId="77777777" w:rsidR="0041371C" w:rsidRDefault="0041371C" w:rsidP="0041371C">
      <w:pPr>
        <w:spacing w:line="360" w:lineRule="auto"/>
        <w:ind w:right="49"/>
        <w:contextualSpacing/>
        <w:jc w:val="both"/>
        <w:rPr>
          <w:rFonts w:ascii="Palatino Linotype" w:hAnsi="Palatino Linotype" w:cs="Arial"/>
          <w:b/>
        </w:rPr>
      </w:pPr>
    </w:p>
    <w:p w14:paraId="6A9732DF" w14:textId="2D272FC4" w:rsidR="0041371C" w:rsidRDefault="0041371C" w:rsidP="0041371C">
      <w:pPr>
        <w:spacing w:line="360" w:lineRule="auto"/>
        <w:ind w:right="49"/>
        <w:contextualSpacing/>
        <w:jc w:val="both"/>
        <w:rPr>
          <w:rFonts w:ascii="Palatino Linotype" w:hAnsi="Palatino Linotype" w:cs="Arial"/>
          <w:sz w:val="25"/>
          <w:szCs w:val="25"/>
        </w:rPr>
      </w:pPr>
      <w:r>
        <w:rPr>
          <w:rFonts w:ascii="Palatino Linotype" w:hAnsi="Palatino Linotype" w:cs="Arial"/>
          <w:b/>
        </w:rPr>
        <w:t>Cuarto.</w:t>
      </w:r>
      <w:r w:rsidRPr="00911351">
        <w:rPr>
          <w:rFonts w:ascii="Palatino Linotype" w:hAnsi="Palatino Linotype" w:cs="Arial"/>
          <w:b/>
        </w:rPr>
        <w:t xml:space="preserve"> </w:t>
      </w:r>
      <w:r>
        <w:rPr>
          <w:rFonts w:ascii="Palatino Linotype" w:hAnsi="Palatino Linotype" w:cs="Arial"/>
          <w:b/>
        </w:rPr>
        <w:t>Notifíquese a</w:t>
      </w:r>
      <w:r w:rsidR="004C33D3">
        <w:rPr>
          <w:rFonts w:ascii="Palatino Linotype" w:hAnsi="Palatino Linotype" w:cs="Arial"/>
          <w:b/>
        </w:rPr>
        <w:t xml:space="preserve"> </w:t>
      </w:r>
      <w:r>
        <w:rPr>
          <w:rFonts w:ascii="Palatino Linotype" w:hAnsi="Palatino Linotype" w:cs="Arial"/>
          <w:b/>
        </w:rPr>
        <w:t>l</w:t>
      </w:r>
      <w:r w:rsidR="004C33D3">
        <w:rPr>
          <w:rFonts w:ascii="Palatino Linotype" w:hAnsi="Palatino Linotype" w:cs="Arial"/>
          <w:b/>
        </w:rPr>
        <w:t>a</w:t>
      </w:r>
      <w:r w:rsidRPr="00911351">
        <w:rPr>
          <w:rFonts w:ascii="Palatino Linotype" w:hAnsi="Palatino Linotype" w:cs="Arial"/>
        </w:rPr>
        <w:t xml:space="preserve"> parte recurrente, la presente resolución, así como, que de conformidad con lo establecido en el artículo 196 de la Ley de Transparencia y Acceso a la Información Pública del Estado de México y Municipios,</w:t>
      </w:r>
      <w:r w:rsidRPr="00F00B3A">
        <w:rPr>
          <w:rFonts w:ascii="Palatino Linotype" w:eastAsia="Calibri" w:hAnsi="Palatino Linotype" w:cs="Arial"/>
          <w:sz w:val="25"/>
          <w:szCs w:val="25"/>
          <w:lang w:val="es-MX" w:eastAsia="en-US"/>
        </w:rPr>
        <w:t xml:space="preserve"> </w:t>
      </w:r>
      <w:r w:rsidRPr="009612D4">
        <w:rPr>
          <w:rFonts w:ascii="Palatino Linotype" w:hAnsi="Palatino Linotype" w:cs="Arial"/>
          <w:sz w:val="25"/>
          <w:szCs w:val="25"/>
        </w:rPr>
        <w:t xml:space="preserve">podrá </w:t>
      </w:r>
      <w:r w:rsidRPr="009612D4">
        <w:rPr>
          <w:rFonts w:ascii="Palatino Linotype" w:hAnsi="Palatino Linotype" w:cs="Arial"/>
          <w:sz w:val="25"/>
          <w:szCs w:val="25"/>
        </w:rPr>
        <w:lastRenderedPageBreak/>
        <w:t>impugnar la presente resolución vía Juicio de Amparo en los términos de las leyes aplicables.</w:t>
      </w:r>
    </w:p>
    <w:p w14:paraId="1AD27FB6" w14:textId="77777777" w:rsidR="00F42A20" w:rsidRDefault="00F42A20" w:rsidP="0041371C">
      <w:pPr>
        <w:spacing w:line="360" w:lineRule="auto"/>
        <w:ind w:right="49"/>
        <w:contextualSpacing/>
        <w:jc w:val="both"/>
        <w:rPr>
          <w:rFonts w:ascii="Palatino Linotype" w:hAnsi="Palatino Linotype" w:cs="Arial"/>
          <w:sz w:val="25"/>
          <w:szCs w:val="25"/>
        </w:rPr>
      </w:pPr>
    </w:p>
    <w:p w14:paraId="71D2EBB2" w14:textId="3B799276" w:rsidR="00351CB3" w:rsidRDefault="00351CB3" w:rsidP="0041371C">
      <w:pPr>
        <w:spacing w:before="240" w:after="240" w:line="360" w:lineRule="auto"/>
        <w:contextualSpacing/>
        <w:jc w:val="both"/>
        <w:rPr>
          <w:rFonts w:ascii="Palatino Linotype" w:hAnsi="Palatino Linotype"/>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0D425EE4" w14:textId="77777777" w:rsidR="00833E81" w:rsidRDefault="00833E81" w:rsidP="0041371C">
      <w:pPr>
        <w:spacing w:before="240" w:after="240" w:line="360" w:lineRule="auto"/>
        <w:contextualSpacing/>
        <w:jc w:val="both"/>
        <w:rPr>
          <w:rFonts w:ascii="Palatino Linotype" w:hAnsi="Palatino Linotype" w:cs="Arial"/>
        </w:rPr>
      </w:pPr>
    </w:p>
    <w:p w14:paraId="43A903C6" w14:textId="21EBDF88"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HERNÁNDEZ, </w:t>
      </w:r>
      <w:r>
        <w:rPr>
          <w:rFonts w:ascii="Palatino Linotype" w:hAnsi="Palatino Linotype"/>
          <w:color w:val="000000"/>
        </w:rPr>
        <w:t>JAVIER MARTÍNEZ CRUZ</w:t>
      </w:r>
      <w:r w:rsidR="00A07EBA">
        <w:rPr>
          <w:rFonts w:ascii="Palatino Linotype" w:hAnsi="Palatino Linotype"/>
          <w:color w:val="000000"/>
        </w:rPr>
        <w:t xml:space="preserve"> Y LUIS GUSTAVO PARRA NORIEGA; </w:t>
      </w:r>
      <w:r>
        <w:rPr>
          <w:rFonts w:ascii="Palatino Linotype" w:hAnsi="Palatino Linotype"/>
          <w:color w:val="000000"/>
        </w:rPr>
        <w:t xml:space="preserve">EN LA </w:t>
      </w:r>
      <w:r w:rsidR="00250F3C">
        <w:rPr>
          <w:rFonts w:ascii="Palatino Linotype" w:hAnsi="Palatino Linotype"/>
          <w:color w:val="000000"/>
        </w:rPr>
        <w:t>SEGUNDA</w:t>
      </w:r>
      <w:r w:rsidR="00FA7D29">
        <w:rPr>
          <w:rFonts w:ascii="Palatino Linotype" w:hAnsi="Palatino Linotype"/>
          <w:color w:val="000000"/>
        </w:rPr>
        <w:t xml:space="preserve"> </w:t>
      </w:r>
      <w:r>
        <w:rPr>
          <w:rFonts w:ascii="Palatino Linotype" w:hAnsi="Palatino Linotype"/>
          <w:color w:val="000000"/>
        </w:rPr>
        <w:t>SESIÓN O</w:t>
      </w:r>
      <w:r w:rsidR="0034307C">
        <w:rPr>
          <w:rFonts w:ascii="Palatino Linotype" w:hAnsi="Palatino Linotype"/>
          <w:color w:val="000000"/>
        </w:rPr>
        <w:t>R</w:t>
      </w:r>
      <w:r w:rsidR="00FA7D29">
        <w:rPr>
          <w:rFonts w:ascii="Palatino Linotype" w:hAnsi="Palatino Linotype"/>
          <w:color w:val="000000"/>
        </w:rPr>
        <w:t xml:space="preserve">DINARIA CELEBRADA EL </w:t>
      </w:r>
      <w:r w:rsidR="00250F3C">
        <w:rPr>
          <w:rFonts w:ascii="Palatino Linotype" w:hAnsi="Palatino Linotype"/>
          <w:color w:val="000000"/>
        </w:rPr>
        <w:t>DIECISÉIS DE ENERO DE DOS MIL DIECINUEVE</w:t>
      </w:r>
      <w:r>
        <w:rPr>
          <w:rFonts w:ascii="Palatino Linotype" w:hAnsi="Palatino Linotype"/>
          <w:color w:val="000000"/>
        </w:rPr>
        <w:t>, ANTE EL SECRETARIO TÉCNICO DEL PLENO ALEXIS TAPIA RAMÍREZ.</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5F8F0868" w14:textId="77777777" w:rsidR="00833E81" w:rsidRDefault="00833E81">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72B14C43" w:rsidR="00351CB3" w:rsidRDefault="00351CB3">
            <w:pPr>
              <w:jc w:val="center"/>
              <w:rPr>
                <w:rFonts w:ascii="Palatino Linotype" w:hAnsi="Palatino Linotype"/>
              </w:rPr>
            </w:pPr>
          </w:p>
        </w:tc>
      </w:tr>
      <w:tr w:rsidR="00925836" w14:paraId="3FAD7C02" w14:textId="77777777" w:rsidTr="00351CB3">
        <w:trPr>
          <w:trHeight w:val="2156"/>
        </w:trPr>
        <w:tc>
          <w:tcPr>
            <w:tcW w:w="4419" w:type="dxa"/>
            <w:vAlign w:val="center"/>
          </w:tcPr>
          <w:p w14:paraId="47960DC9" w14:textId="77777777" w:rsidR="00E75BD1" w:rsidRDefault="00E75BD1" w:rsidP="00925836">
            <w:pPr>
              <w:jc w:val="center"/>
              <w:rPr>
                <w:rFonts w:ascii="Palatino Linotype" w:hAnsi="Palatino Linotype"/>
                <w:b/>
                <w:sz w:val="25"/>
                <w:szCs w:val="25"/>
              </w:rPr>
            </w:pPr>
          </w:p>
          <w:p w14:paraId="26E0D7AF" w14:textId="77777777" w:rsidR="00497A8C" w:rsidRDefault="00497A8C" w:rsidP="00925836">
            <w:pPr>
              <w:jc w:val="center"/>
              <w:rPr>
                <w:rFonts w:ascii="Palatino Linotype" w:hAnsi="Palatino Linotype"/>
                <w:b/>
                <w:sz w:val="25"/>
                <w:szCs w:val="25"/>
              </w:rPr>
            </w:pPr>
          </w:p>
          <w:p w14:paraId="1ABF29FF" w14:textId="77777777" w:rsidR="00497A8C" w:rsidRDefault="00497A8C" w:rsidP="00925836">
            <w:pPr>
              <w:jc w:val="center"/>
              <w:rPr>
                <w:rFonts w:ascii="Palatino Linotype" w:hAnsi="Palatino Linotype"/>
                <w:b/>
                <w:sz w:val="25"/>
                <w:szCs w:val="25"/>
              </w:rPr>
            </w:pPr>
          </w:p>
          <w:p w14:paraId="32BAD1D0" w14:textId="77777777" w:rsidR="00497A8C" w:rsidRDefault="00497A8C"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 xml:space="preserve">Eva </w:t>
            </w:r>
            <w:proofErr w:type="spellStart"/>
            <w:r>
              <w:rPr>
                <w:rFonts w:ascii="Palatino Linotype" w:hAnsi="Palatino Linotype"/>
                <w:b/>
                <w:sz w:val="25"/>
                <w:szCs w:val="25"/>
              </w:rPr>
              <w:t>Abaid</w:t>
            </w:r>
            <w:proofErr w:type="spellEnd"/>
            <w:r>
              <w:rPr>
                <w:rFonts w:ascii="Palatino Linotype" w:hAnsi="Palatino Linotype"/>
                <w:b/>
                <w:sz w:val="25"/>
                <w:szCs w:val="25"/>
              </w:rPr>
              <w:t xml:space="preserve"> </w:t>
            </w:r>
            <w:proofErr w:type="spellStart"/>
            <w:r>
              <w:rPr>
                <w:rFonts w:ascii="Palatino Linotype" w:hAnsi="Palatino Linotype"/>
                <w:b/>
                <w:sz w:val="25"/>
                <w:szCs w:val="25"/>
              </w:rPr>
              <w:t>Yapur</w:t>
            </w:r>
            <w:proofErr w:type="spellEnd"/>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7BDC22C5" w14:textId="77777777" w:rsidR="00925836" w:rsidRDefault="009258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CEA59A8" w14:textId="77777777" w:rsidR="00497A8C" w:rsidRDefault="00497A8C" w:rsidP="00925836">
            <w:pPr>
              <w:jc w:val="center"/>
              <w:rPr>
                <w:rFonts w:ascii="Palatino Linotype" w:hAnsi="Palatino Linotype"/>
                <w:sz w:val="25"/>
                <w:szCs w:val="25"/>
              </w:rPr>
            </w:pPr>
          </w:p>
          <w:p w14:paraId="557E677C" w14:textId="77777777" w:rsidR="00497A8C" w:rsidRDefault="00497A8C"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76F09E08" w14:textId="77777777" w:rsidR="00925836" w:rsidRDefault="00925836" w:rsidP="00925836">
            <w:pPr>
              <w:jc w:val="center"/>
              <w:rPr>
                <w:rFonts w:ascii="Palatino Linotype" w:hAnsi="Palatino Linotype"/>
                <w:sz w:val="25"/>
                <w:szCs w:val="25"/>
              </w:rPr>
            </w:pPr>
          </w:p>
          <w:p w14:paraId="6CEEC10A" w14:textId="38BE4883" w:rsidR="00186BEE" w:rsidRDefault="00186BEE" w:rsidP="00925836">
            <w:pPr>
              <w:jc w:val="center"/>
              <w:rPr>
                <w:rFonts w:ascii="Palatino Linotype" w:hAnsi="Palatino Linotype"/>
              </w:rPr>
            </w:pPr>
          </w:p>
        </w:tc>
        <w:tc>
          <w:tcPr>
            <w:tcW w:w="4419" w:type="dxa"/>
            <w:vAlign w:val="center"/>
          </w:tcPr>
          <w:p w14:paraId="440FD88D" w14:textId="77777777" w:rsidR="00497A8C" w:rsidRDefault="00497A8C" w:rsidP="00925836">
            <w:pPr>
              <w:jc w:val="center"/>
              <w:rPr>
                <w:rFonts w:ascii="Palatino Linotype" w:hAnsi="Palatino Linotype" w:cs="Arial"/>
                <w:b/>
                <w:sz w:val="25"/>
                <w:szCs w:val="25"/>
              </w:rPr>
            </w:pPr>
          </w:p>
          <w:p w14:paraId="2EF377B5" w14:textId="77777777" w:rsidR="00497A8C" w:rsidRDefault="00497A8C" w:rsidP="00925836">
            <w:pPr>
              <w:jc w:val="center"/>
              <w:rPr>
                <w:rFonts w:ascii="Palatino Linotype" w:hAnsi="Palatino Linotype" w:cs="Arial"/>
                <w:b/>
                <w:sz w:val="25"/>
                <w:szCs w:val="25"/>
              </w:rPr>
            </w:pPr>
          </w:p>
          <w:p w14:paraId="4D443677" w14:textId="77777777" w:rsidR="00497A8C" w:rsidRDefault="00497A8C"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89C2A80"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6D54D7A3" w14:textId="77777777" w:rsidR="00497A8C" w:rsidRDefault="00497A8C" w:rsidP="00925836">
            <w:pPr>
              <w:jc w:val="center"/>
              <w:rPr>
                <w:rFonts w:ascii="Palatino Linotype" w:hAnsi="Palatino Linotype"/>
                <w:sz w:val="25"/>
                <w:szCs w:val="25"/>
              </w:rPr>
            </w:pPr>
          </w:p>
          <w:p w14:paraId="6AE16F04" w14:textId="77777777" w:rsidR="00497A8C" w:rsidRDefault="00497A8C"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07EB8DF3" w:rsidR="00925836" w:rsidRDefault="00925836" w:rsidP="00925836">
            <w:pPr>
              <w:jc w:val="center"/>
              <w:rPr>
                <w:rFonts w:ascii="Palatino Linotype" w:hAnsi="Palatino Linotype"/>
              </w:rPr>
            </w:pP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0C2B961B" w14:textId="77777777" w:rsidR="00351CB3" w:rsidRDefault="00351CB3" w:rsidP="00186BEE">
            <w:pPr>
              <w:jc w:val="center"/>
              <w:rPr>
                <w:rFonts w:ascii="Palatino Linotype" w:hAnsi="Palatino Linotype"/>
              </w:rPr>
            </w:pPr>
          </w:p>
        </w:tc>
      </w:tr>
    </w:tbl>
    <w:p w14:paraId="5D469C24" w14:textId="0AEA4978"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CF555B">
        <w:rPr>
          <w:rFonts w:ascii="Palatino Linotype" w:hAnsi="Palatino Linotype" w:cs="Arial"/>
          <w:sz w:val="20"/>
        </w:rPr>
        <w:t xml:space="preserve">l </w:t>
      </w:r>
      <w:r w:rsidR="00250F3C">
        <w:rPr>
          <w:rFonts w:ascii="Palatino Linotype" w:hAnsi="Palatino Linotype" w:cs="Arial"/>
          <w:sz w:val="20"/>
        </w:rPr>
        <w:t>diecisé</w:t>
      </w:r>
      <w:r w:rsidR="007A7013">
        <w:rPr>
          <w:rFonts w:ascii="Palatino Linotype" w:hAnsi="Palatino Linotype" w:cs="Arial"/>
          <w:sz w:val="20"/>
        </w:rPr>
        <w:t>is de enero de dos mil diecinuev</w:t>
      </w:r>
      <w:r w:rsidR="00250F3C">
        <w:rPr>
          <w:rFonts w:ascii="Palatino Linotype" w:hAnsi="Palatino Linotype" w:cs="Arial"/>
          <w:sz w:val="20"/>
        </w:rPr>
        <w:t>e</w:t>
      </w:r>
      <w:r>
        <w:rPr>
          <w:rFonts w:ascii="Palatino Linotype" w:hAnsi="Palatino Linotype" w:cs="Arial"/>
          <w:sz w:val="20"/>
        </w:rPr>
        <w:t xml:space="preserve">, emitida en el recurso de revisión </w:t>
      </w:r>
      <w:r w:rsidR="00833E81">
        <w:rPr>
          <w:rFonts w:ascii="Palatino Linotype" w:hAnsi="Palatino Linotype" w:cs="Arial"/>
          <w:b/>
          <w:bCs/>
          <w:sz w:val="20"/>
        </w:rPr>
        <w:t>0</w:t>
      </w:r>
      <w:r w:rsidR="00250F3C">
        <w:rPr>
          <w:rFonts w:ascii="Palatino Linotype" w:hAnsi="Palatino Linotype" w:cs="Arial"/>
          <w:b/>
          <w:bCs/>
          <w:sz w:val="20"/>
        </w:rPr>
        <w:t>4549</w:t>
      </w:r>
      <w:r w:rsidR="0034307C">
        <w:rPr>
          <w:rFonts w:ascii="Palatino Linotype" w:hAnsi="Palatino Linotype" w:cs="Arial"/>
          <w:b/>
          <w:bCs/>
          <w:sz w:val="20"/>
        </w:rPr>
        <w:t>/INFOEM/IP/RR/2018.</w:t>
      </w:r>
    </w:p>
    <w:sectPr w:rsidR="003D560E" w:rsidSect="00C60714">
      <w:headerReference w:type="default" r:id="rId14"/>
      <w:footerReference w:type="default" r:id="rId15"/>
      <w:headerReference w:type="first" r:id="rId16"/>
      <w:footerReference w:type="first" r:id="rId17"/>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017C" w14:textId="77777777" w:rsidR="00394C00" w:rsidRDefault="00394C00" w:rsidP="00C80F8C">
      <w:r>
        <w:separator/>
      </w:r>
    </w:p>
  </w:endnote>
  <w:endnote w:type="continuationSeparator" w:id="0">
    <w:p w14:paraId="1480C90F" w14:textId="77777777" w:rsidR="00394C00" w:rsidRDefault="00394C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87B81">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87B81">
      <w:rPr>
        <w:rFonts w:ascii="Arial" w:hAnsi="Arial" w:cs="Arial"/>
        <w:b/>
        <w:bCs/>
        <w:noProof/>
        <w:sz w:val="20"/>
        <w:szCs w:val="20"/>
      </w:rPr>
      <w:t>36</w:t>
    </w:r>
    <w:r>
      <w:rPr>
        <w:rFonts w:ascii="Arial" w:hAnsi="Arial" w:cs="Arial"/>
        <w:b/>
        <w:bCs/>
        <w:sz w:val="20"/>
        <w:szCs w:val="20"/>
      </w:rPr>
      <w:fldChar w:fldCharType="end"/>
    </w:r>
  </w:p>
  <w:p w14:paraId="1192A578" w14:textId="77777777" w:rsidR="00CA1645" w:rsidRDefault="00CA1645" w:rsidP="00935A0D">
    <w:pPr>
      <w:pStyle w:val="Piedepgina"/>
      <w:rPr>
        <w:rFonts w:ascii="Times New Roman" w:hAnsi="Times New Roman" w:cs="Times New Roman"/>
      </w:rPr>
    </w:pPr>
  </w:p>
  <w:p w14:paraId="14A770F8" w14:textId="77777777" w:rsidR="00CA1645" w:rsidRDefault="00CA164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87B8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87B81">
      <w:rPr>
        <w:rFonts w:ascii="Arial" w:hAnsi="Arial" w:cs="Arial"/>
        <w:b/>
        <w:bCs/>
        <w:noProof/>
        <w:sz w:val="20"/>
        <w:szCs w:val="20"/>
      </w:rPr>
      <w:t>36</w:t>
    </w:r>
    <w:r>
      <w:rPr>
        <w:rFonts w:ascii="Arial" w:hAnsi="Arial" w:cs="Arial"/>
        <w:b/>
        <w:bCs/>
        <w:sz w:val="20"/>
        <w:szCs w:val="20"/>
      </w:rPr>
      <w:fldChar w:fldCharType="end"/>
    </w:r>
  </w:p>
  <w:p w14:paraId="5D98ABD5" w14:textId="77777777" w:rsidR="00CA1645" w:rsidRDefault="00CA1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62037" w14:textId="77777777" w:rsidR="00394C00" w:rsidRDefault="00394C00" w:rsidP="00C80F8C">
      <w:r>
        <w:separator/>
      </w:r>
    </w:p>
  </w:footnote>
  <w:footnote w:type="continuationSeparator" w:id="0">
    <w:p w14:paraId="32CD85BD" w14:textId="77777777" w:rsidR="00394C00" w:rsidRDefault="00394C0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E00211" w14:paraId="0125E075" w14:textId="77777777" w:rsidTr="00795159">
      <w:tc>
        <w:tcPr>
          <w:tcW w:w="2551" w:type="dxa"/>
          <w:vAlign w:val="center"/>
          <w:hideMark/>
        </w:tcPr>
        <w:p w14:paraId="69DA0AFA"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6CE3FB20" w14:textId="77777777" w:rsidR="00E00211" w:rsidRDefault="00E00211" w:rsidP="00E00211">
          <w:pPr>
            <w:jc w:val="both"/>
            <w:rPr>
              <w:rFonts w:ascii="Palatino Linotype" w:hAnsi="Palatino Linotype"/>
              <w:b/>
              <w:sz w:val="22"/>
              <w:szCs w:val="22"/>
              <w:lang w:val="es-ES_tradnl"/>
            </w:rPr>
          </w:pPr>
          <w:r>
            <w:rPr>
              <w:rFonts w:ascii="Palatino Linotype" w:hAnsi="Palatino Linotype"/>
              <w:b/>
              <w:sz w:val="22"/>
              <w:szCs w:val="22"/>
              <w:lang w:val="es-ES_tradnl"/>
            </w:rPr>
            <w:t>04549/INFOEM/IP/RR/2018.</w:t>
          </w:r>
        </w:p>
      </w:tc>
    </w:tr>
    <w:tr w:rsidR="00E00211" w14:paraId="50028972" w14:textId="77777777" w:rsidTr="00795159">
      <w:trPr>
        <w:trHeight w:val="228"/>
      </w:trPr>
      <w:tc>
        <w:tcPr>
          <w:tcW w:w="2551" w:type="dxa"/>
          <w:vAlign w:val="center"/>
          <w:hideMark/>
        </w:tcPr>
        <w:p w14:paraId="649ECC5A"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3B128198" w14:textId="77777777" w:rsidR="00E00211" w:rsidRDefault="00E00211" w:rsidP="00E0021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Nopaltepec</w:t>
          </w:r>
          <w:proofErr w:type="spellEnd"/>
          <w:r>
            <w:rPr>
              <w:rFonts w:ascii="Palatino Linotype" w:hAnsi="Palatino Linotype"/>
              <w:b/>
              <w:sz w:val="22"/>
              <w:szCs w:val="22"/>
              <w:lang w:val="es-ES_tradnl"/>
            </w:rPr>
            <w:t>.</w:t>
          </w:r>
        </w:p>
      </w:tc>
    </w:tr>
    <w:tr w:rsidR="00E00211" w14:paraId="686208B6" w14:textId="77777777" w:rsidTr="00795159">
      <w:tc>
        <w:tcPr>
          <w:tcW w:w="2551" w:type="dxa"/>
          <w:vAlign w:val="center"/>
          <w:hideMark/>
        </w:tcPr>
        <w:p w14:paraId="0C5FC378"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50DA7908" w14:textId="77777777" w:rsidR="00E00211" w:rsidRDefault="00E00211" w:rsidP="00E00211">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8CFED12" w:rsidR="00CA1645" w:rsidRDefault="00CA1645" w:rsidP="007B282D">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269C405" w:rsidR="00CA1645" w:rsidRDefault="00CA1645" w:rsidP="00C47D1B">
    <w:pPr>
      <w:pStyle w:val="Encabezado"/>
      <w:jc w:val="both"/>
    </w:pPr>
  </w:p>
  <w:tbl>
    <w:tblPr>
      <w:tblW w:w="5812" w:type="dxa"/>
      <w:tblInd w:w="3119" w:type="dxa"/>
      <w:tblLayout w:type="fixed"/>
      <w:tblLook w:val="04A0" w:firstRow="1" w:lastRow="0" w:firstColumn="1" w:lastColumn="0" w:noHBand="0" w:noVBand="1"/>
    </w:tblPr>
    <w:tblGrid>
      <w:gridCol w:w="2551"/>
      <w:gridCol w:w="3261"/>
    </w:tblGrid>
    <w:tr w:rsidR="00E00211" w14:paraId="25930AD8" w14:textId="77777777" w:rsidTr="00795159">
      <w:tc>
        <w:tcPr>
          <w:tcW w:w="2551" w:type="dxa"/>
          <w:vAlign w:val="center"/>
          <w:hideMark/>
        </w:tcPr>
        <w:p w14:paraId="6413F11F"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6C1610E5" w14:textId="77777777" w:rsidR="00E00211" w:rsidRDefault="00E00211" w:rsidP="00E00211">
          <w:pPr>
            <w:jc w:val="both"/>
            <w:rPr>
              <w:rFonts w:ascii="Palatino Linotype" w:hAnsi="Palatino Linotype"/>
              <w:b/>
              <w:sz w:val="22"/>
              <w:szCs w:val="22"/>
              <w:lang w:val="es-ES_tradnl"/>
            </w:rPr>
          </w:pPr>
          <w:r>
            <w:rPr>
              <w:rFonts w:ascii="Palatino Linotype" w:hAnsi="Palatino Linotype"/>
              <w:b/>
              <w:sz w:val="22"/>
              <w:szCs w:val="22"/>
              <w:lang w:val="es-ES_tradnl"/>
            </w:rPr>
            <w:t>04549/INFOEM/IP/RR/2018.</w:t>
          </w:r>
        </w:p>
      </w:tc>
    </w:tr>
    <w:tr w:rsidR="00E00211" w14:paraId="42355152" w14:textId="77777777" w:rsidTr="00795159">
      <w:tc>
        <w:tcPr>
          <w:tcW w:w="2551" w:type="dxa"/>
          <w:vAlign w:val="center"/>
          <w:hideMark/>
        </w:tcPr>
        <w:p w14:paraId="1513B871" w14:textId="77777777" w:rsidR="00E00211" w:rsidRDefault="00E00211" w:rsidP="00E00211">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309794D4" w14:textId="6EB2BE06" w:rsidR="00E00211" w:rsidRDefault="00487B81" w:rsidP="00487B81">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1532AD">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1532AD">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D20477">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E00211" w14:paraId="1132F26F" w14:textId="77777777" w:rsidTr="00795159">
      <w:trPr>
        <w:trHeight w:val="228"/>
      </w:trPr>
      <w:tc>
        <w:tcPr>
          <w:tcW w:w="2551" w:type="dxa"/>
          <w:vAlign w:val="center"/>
          <w:hideMark/>
        </w:tcPr>
        <w:p w14:paraId="127D9B7F"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77C30F68" w14:textId="77777777" w:rsidR="00E00211" w:rsidRDefault="00E00211" w:rsidP="00E0021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Nopaltepec</w:t>
          </w:r>
          <w:proofErr w:type="spellEnd"/>
          <w:r>
            <w:rPr>
              <w:rFonts w:ascii="Palatino Linotype" w:hAnsi="Palatino Linotype"/>
              <w:b/>
              <w:sz w:val="22"/>
              <w:szCs w:val="22"/>
              <w:lang w:val="es-ES_tradnl"/>
            </w:rPr>
            <w:t>.</w:t>
          </w:r>
        </w:p>
      </w:tc>
    </w:tr>
    <w:tr w:rsidR="00E00211" w14:paraId="3EB7CF45" w14:textId="77777777" w:rsidTr="00795159">
      <w:tc>
        <w:tcPr>
          <w:tcW w:w="2551" w:type="dxa"/>
          <w:vAlign w:val="center"/>
          <w:hideMark/>
        </w:tcPr>
        <w:p w14:paraId="6A8B444B" w14:textId="77777777" w:rsidR="00E00211" w:rsidRDefault="00E00211" w:rsidP="00E00211">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7BC7E562" w14:textId="77777777" w:rsidR="00E00211" w:rsidRDefault="00E00211" w:rsidP="00E00211">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A1645" w:rsidRDefault="00CA164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E844B8"/>
    <w:multiLevelType w:val="hybridMultilevel"/>
    <w:tmpl w:val="37BE074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06B08"/>
    <w:rsid w:val="00010CC9"/>
    <w:rsid w:val="00012BBE"/>
    <w:rsid w:val="000130D3"/>
    <w:rsid w:val="00013210"/>
    <w:rsid w:val="00013961"/>
    <w:rsid w:val="000142A6"/>
    <w:rsid w:val="000163E2"/>
    <w:rsid w:val="00021061"/>
    <w:rsid w:val="00022C89"/>
    <w:rsid w:val="00022DB0"/>
    <w:rsid w:val="00026864"/>
    <w:rsid w:val="0003054C"/>
    <w:rsid w:val="0003179B"/>
    <w:rsid w:val="000332EF"/>
    <w:rsid w:val="000354B7"/>
    <w:rsid w:val="000416BB"/>
    <w:rsid w:val="0004195C"/>
    <w:rsid w:val="0004420F"/>
    <w:rsid w:val="00046D1F"/>
    <w:rsid w:val="0005034C"/>
    <w:rsid w:val="000507B6"/>
    <w:rsid w:val="0005290A"/>
    <w:rsid w:val="00052FFB"/>
    <w:rsid w:val="000542C7"/>
    <w:rsid w:val="000553DF"/>
    <w:rsid w:val="00055789"/>
    <w:rsid w:val="0005622E"/>
    <w:rsid w:val="000605DC"/>
    <w:rsid w:val="00060DA9"/>
    <w:rsid w:val="00064693"/>
    <w:rsid w:val="0006581C"/>
    <w:rsid w:val="000660BA"/>
    <w:rsid w:val="00066EC2"/>
    <w:rsid w:val="00067377"/>
    <w:rsid w:val="000679F8"/>
    <w:rsid w:val="00067DA3"/>
    <w:rsid w:val="00070DE6"/>
    <w:rsid w:val="00070E3A"/>
    <w:rsid w:val="000804EF"/>
    <w:rsid w:val="000821BA"/>
    <w:rsid w:val="000823B9"/>
    <w:rsid w:val="0008542A"/>
    <w:rsid w:val="00086BD9"/>
    <w:rsid w:val="00087A2F"/>
    <w:rsid w:val="00087B6F"/>
    <w:rsid w:val="0009491F"/>
    <w:rsid w:val="00096F4F"/>
    <w:rsid w:val="00096F56"/>
    <w:rsid w:val="000A406C"/>
    <w:rsid w:val="000A62D9"/>
    <w:rsid w:val="000A66C6"/>
    <w:rsid w:val="000A70F6"/>
    <w:rsid w:val="000B1AD6"/>
    <w:rsid w:val="000B3FFD"/>
    <w:rsid w:val="000B4B7B"/>
    <w:rsid w:val="000C06EC"/>
    <w:rsid w:val="000C15E2"/>
    <w:rsid w:val="000C288A"/>
    <w:rsid w:val="000C3815"/>
    <w:rsid w:val="000C3913"/>
    <w:rsid w:val="000C4453"/>
    <w:rsid w:val="000D05A8"/>
    <w:rsid w:val="000D0FBB"/>
    <w:rsid w:val="000D23E1"/>
    <w:rsid w:val="000D470B"/>
    <w:rsid w:val="000D5DF8"/>
    <w:rsid w:val="000E0D4C"/>
    <w:rsid w:val="000E2DE5"/>
    <w:rsid w:val="000E3C08"/>
    <w:rsid w:val="000F128B"/>
    <w:rsid w:val="000F1551"/>
    <w:rsid w:val="000F1912"/>
    <w:rsid w:val="000F27A3"/>
    <w:rsid w:val="000F2894"/>
    <w:rsid w:val="00100085"/>
    <w:rsid w:val="00101200"/>
    <w:rsid w:val="00103284"/>
    <w:rsid w:val="00111B53"/>
    <w:rsid w:val="00111E67"/>
    <w:rsid w:val="00113827"/>
    <w:rsid w:val="001145E0"/>
    <w:rsid w:val="00114D84"/>
    <w:rsid w:val="00116B7B"/>
    <w:rsid w:val="00121A13"/>
    <w:rsid w:val="0012268D"/>
    <w:rsid w:val="0012354D"/>
    <w:rsid w:val="0012426A"/>
    <w:rsid w:val="00126830"/>
    <w:rsid w:val="00130DD0"/>
    <w:rsid w:val="0013223D"/>
    <w:rsid w:val="00135983"/>
    <w:rsid w:val="0013718D"/>
    <w:rsid w:val="00137EEF"/>
    <w:rsid w:val="0014045C"/>
    <w:rsid w:val="001409A7"/>
    <w:rsid w:val="00150121"/>
    <w:rsid w:val="0015020B"/>
    <w:rsid w:val="001532AD"/>
    <w:rsid w:val="0015369B"/>
    <w:rsid w:val="001549E2"/>
    <w:rsid w:val="0015574D"/>
    <w:rsid w:val="001635A9"/>
    <w:rsid w:val="0016404F"/>
    <w:rsid w:val="0017115F"/>
    <w:rsid w:val="001724F7"/>
    <w:rsid w:val="001731AC"/>
    <w:rsid w:val="00174176"/>
    <w:rsid w:val="001764BD"/>
    <w:rsid w:val="00176A2B"/>
    <w:rsid w:val="00176EF2"/>
    <w:rsid w:val="00181EBC"/>
    <w:rsid w:val="00181FEF"/>
    <w:rsid w:val="001823C9"/>
    <w:rsid w:val="00185685"/>
    <w:rsid w:val="00186BEE"/>
    <w:rsid w:val="001910A9"/>
    <w:rsid w:val="001949D0"/>
    <w:rsid w:val="00196928"/>
    <w:rsid w:val="001A211D"/>
    <w:rsid w:val="001A523B"/>
    <w:rsid w:val="001A564A"/>
    <w:rsid w:val="001A6401"/>
    <w:rsid w:val="001C07E1"/>
    <w:rsid w:val="001C1F72"/>
    <w:rsid w:val="001C32EB"/>
    <w:rsid w:val="001E0301"/>
    <w:rsid w:val="001E2436"/>
    <w:rsid w:val="001E3C0F"/>
    <w:rsid w:val="001E3C7B"/>
    <w:rsid w:val="001E7F56"/>
    <w:rsid w:val="001F3A73"/>
    <w:rsid w:val="001F4095"/>
    <w:rsid w:val="001F5EDB"/>
    <w:rsid w:val="002028A3"/>
    <w:rsid w:val="00202C28"/>
    <w:rsid w:val="00205E96"/>
    <w:rsid w:val="0020709A"/>
    <w:rsid w:val="002105DA"/>
    <w:rsid w:val="00210938"/>
    <w:rsid w:val="002129FB"/>
    <w:rsid w:val="002138F8"/>
    <w:rsid w:val="00213EDE"/>
    <w:rsid w:val="00214B43"/>
    <w:rsid w:val="00214C3D"/>
    <w:rsid w:val="00215360"/>
    <w:rsid w:val="002159FC"/>
    <w:rsid w:val="00215C52"/>
    <w:rsid w:val="00220958"/>
    <w:rsid w:val="00221FB8"/>
    <w:rsid w:val="00222927"/>
    <w:rsid w:val="00223512"/>
    <w:rsid w:val="00223BA8"/>
    <w:rsid w:val="00224F8A"/>
    <w:rsid w:val="00225FDE"/>
    <w:rsid w:val="00226427"/>
    <w:rsid w:val="0022770E"/>
    <w:rsid w:val="0023124E"/>
    <w:rsid w:val="002318F2"/>
    <w:rsid w:val="00232423"/>
    <w:rsid w:val="0023264F"/>
    <w:rsid w:val="00234595"/>
    <w:rsid w:val="002365EE"/>
    <w:rsid w:val="002373CE"/>
    <w:rsid w:val="00237FDF"/>
    <w:rsid w:val="00241463"/>
    <w:rsid w:val="00241DD1"/>
    <w:rsid w:val="002420A7"/>
    <w:rsid w:val="00242391"/>
    <w:rsid w:val="00243654"/>
    <w:rsid w:val="00250F3C"/>
    <w:rsid w:val="002533CD"/>
    <w:rsid w:val="00255050"/>
    <w:rsid w:val="00255141"/>
    <w:rsid w:val="00257766"/>
    <w:rsid w:val="002605CD"/>
    <w:rsid w:val="00261EE8"/>
    <w:rsid w:val="002642E8"/>
    <w:rsid w:val="0026697E"/>
    <w:rsid w:val="00273018"/>
    <w:rsid w:val="00275929"/>
    <w:rsid w:val="002774F3"/>
    <w:rsid w:val="00277666"/>
    <w:rsid w:val="00277878"/>
    <w:rsid w:val="00280EE2"/>
    <w:rsid w:val="002829D3"/>
    <w:rsid w:val="00283A9A"/>
    <w:rsid w:val="00283CFD"/>
    <w:rsid w:val="00284B27"/>
    <w:rsid w:val="0029069D"/>
    <w:rsid w:val="00293632"/>
    <w:rsid w:val="002A091E"/>
    <w:rsid w:val="002A2B65"/>
    <w:rsid w:val="002A47FD"/>
    <w:rsid w:val="002A4848"/>
    <w:rsid w:val="002A5C4A"/>
    <w:rsid w:val="002A5D25"/>
    <w:rsid w:val="002A7B2D"/>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C50"/>
    <w:rsid w:val="002E61CF"/>
    <w:rsid w:val="002F1226"/>
    <w:rsid w:val="002F4F52"/>
    <w:rsid w:val="002F546F"/>
    <w:rsid w:val="002F583B"/>
    <w:rsid w:val="002F58D0"/>
    <w:rsid w:val="002F6513"/>
    <w:rsid w:val="00302B8E"/>
    <w:rsid w:val="00305732"/>
    <w:rsid w:val="00305C64"/>
    <w:rsid w:val="00311EA8"/>
    <w:rsid w:val="00312F9E"/>
    <w:rsid w:val="003164B0"/>
    <w:rsid w:val="003170D1"/>
    <w:rsid w:val="00317872"/>
    <w:rsid w:val="00317987"/>
    <w:rsid w:val="00322A09"/>
    <w:rsid w:val="00323309"/>
    <w:rsid w:val="00325833"/>
    <w:rsid w:val="003330C5"/>
    <w:rsid w:val="00334625"/>
    <w:rsid w:val="00334C99"/>
    <w:rsid w:val="0033559E"/>
    <w:rsid w:val="0034129A"/>
    <w:rsid w:val="003412C2"/>
    <w:rsid w:val="00341718"/>
    <w:rsid w:val="003423DE"/>
    <w:rsid w:val="0034307C"/>
    <w:rsid w:val="00343ED6"/>
    <w:rsid w:val="00344721"/>
    <w:rsid w:val="00345234"/>
    <w:rsid w:val="003500A5"/>
    <w:rsid w:val="00350C3A"/>
    <w:rsid w:val="00351CB3"/>
    <w:rsid w:val="00353977"/>
    <w:rsid w:val="003541EF"/>
    <w:rsid w:val="00355C79"/>
    <w:rsid w:val="00361262"/>
    <w:rsid w:val="00363F3A"/>
    <w:rsid w:val="00366153"/>
    <w:rsid w:val="003679C2"/>
    <w:rsid w:val="00372017"/>
    <w:rsid w:val="00373004"/>
    <w:rsid w:val="00374150"/>
    <w:rsid w:val="0037438E"/>
    <w:rsid w:val="0037499B"/>
    <w:rsid w:val="00375B4E"/>
    <w:rsid w:val="00376685"/>
    <w:rsid w:val="003767B7"/>
    <w:rsid w:val="003904B3"/>
    <w:rsid w:val="00390B9F"/>
    <w:rsid w:val="003923E8"/>
    <w:rsid w:val="0039329C"/>
    <w:rsid w:val="00393ABF"/>
    <w:rsid w:val="00394C00"/>
    <w:rsid w:val="0039516A"/>
    <w:rsid w:val="003965AE"/>
    <w:rsid w:val="00396C1E"/>
    <w:rsid w:val="003A07BC"/>
    <w:rsid w:val="003A7D23"/>
    <w:rsid w:val="003A7F60"/>
    <w:rsid w:val="003B4C6A"/>
    <w:rsid w:val="003B5859"/>
    <w:rsid w:val="003C2E9D"/>
    <w:rsid w:val="003C587C"/>
    <w:rsid w:val="003D3669"/>
    <w:rsid w:val="003D560E"/>
    <w:rsid w:val="003D66C9"/>
    <w:rsid w:val="003D6823"/>
    <w:rsid w:val="003D77EA"/>
    <w:rsid w:val="003D788C"/>
    <w:rsid w:val="003D7EAD"/>
    <w:rsid w:val="003E1CE6"/>
    <w:rsid w:val="003E68C4"/>
    <w:rsid w:val="003E6ADA"/>
    <w:rsid w:val="003E6BA7"/>
    <w:rsid w:val="003E7A7B"/>
    <w:rsid w:val="003F0B70"/>
    <w:rsid w:val="003F68A8"/>
    <w:rsid w:val="0040007B"/>
    <w:rsid w:val="00404B86"/>
    <w:rsid w:val="004063AE"/>
    <w:rsid w:val="00407B62"/>
    <w:rsid w:val="00411370"/>
    <w:rsid w:val="0041371C"/>
    <w:rsid w:val="0041466D"/>
    <w:rsid w:val="004162B0"/>
    <w:rsid w:val="00424E3A"/>
    <w:rsid w:val="004252E2"/>
    <w:rsid w:val="00425800"/>
    <w:rsid w:val="00426DC4"/>
    <w:rsid w:val="00434666"/>
    <w:rsid w:val="004353C8"/>
    <w:rsid w:val="004357C4"/>
    <w:rsid w:val="004368E3"/>
    <w:rsid w:val="0044547C"/>
    <w:rsid w:val="0045150A"/>
    <w:rsid w:val="00456376"/>
    <w:rsid w:val="00457031"/>
    <w:rsid w:val="004579F1"/>
    <w:rsid w:val="00457A68"/>
    <w:rsid w:val="00466025"/>
    <w:rsid w:val="004660C8"/>
    <w:rsid w:val="0047014C"/>
    <w:rsid w:val="00472E08"/>
    <w:rsid w:val="004755EA"/>
    <w:rsid w:val="00477577"/>
    <w:rsid w:val="0047785E"/>
    <w:rsid w:val="00480BD4"/>
    <w:rsid w:val="004817F9"/>
    <w:rsid w:val="004836A2"/>
    <w:rsid w:val="00483A1C"/>
    <w:rsid w:val="00484663"/>
    <w:rsid w:val="00484F10"/>
    <w:rsid w:val="00486D54"/>
    <w:rsid w:val="00487B81"/>
    <w:rsid w:val="00487F15"/>
    <w:rsid w:val="00487F9D"/>
    <w:rsid w:val="0049138B"/>
    <w:rsid w:val="004928C7"/>
    <w:rsid w:val="00497A8C"/>
    <w:rsid w:val="004A0615"/>
    <w:rsid w:val="004A284F"/>
    <w:rsid w:val="004A2C5A"/>
    <w:rsid w:val="004A52D4"/>
    <w:rsid w:val="004A59DD"/>
    <w:rsid w:val="004A63CC"/>
    <w:rsid w:val="004A6677"/>
    <w:rsid w:val="004B0C10"/>
    <w:rsid w:val="004B589D"/>
    <w:rsid w:val="004B7864"/>
    <w:rsid w:val="004C1020"/>
    <w:rsid w:val="004C1C62"/>
    <w:rsid w:val="004C33D3"/>
    <w:rsid w:val="004D0A26"/>
    <w:rsid w:val="004D4535"/>
    <w:rsid w:val="004D4AB0"/>
    <w:rsid w:val="004D576E"/>
    <w:rsid w:val="004E4F14"/>
    <w:rsid w:val="004E5DBD"/>
    <w:rsid w:val="004E795D"/>
    <w:rsid w:val="004F11D9"/>
    <w:rsid w:val="004F1C4A"/>
    <w:rsid w:val="004F1FD3"/>
    <w:rsid w:val="004F2BE9"/>
    <w:rsid w:val="004F375B"/>
    <w:rsid w:val="004F4A54"/>
    <w:rsid w:val="004F679F"/>
    <w:rsid w:val="004F6CD6"/>
    <w:rsid w:val="004F6DE4"/>
    <w:rsid w:val="004F7587"/>
    <w:rsid w:val="004F7DC1"/>
    <w:rsid w:val="00502101"/>
    <w:rsid w:val="0050484E"/>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6B2"/>
    <w:rsid w:val="00536B8E"/>
    <w:rsid w:val="005442D6"/>
    <w:rsid w:val="005457D7"/>
    <w:rsid w:val="00545E2D"/>
    <w:rsid w:val="005462B2"/>
    <w:rsid w:val="0054655C"/>
    <w:rsid w:val="00553CA8"/>
    <w:rsid w:val="00554A07"/>
    <w:rsid w:val="00555720"/>
    <w:rsid w:val="00560504"/>
    <w:rsid w:val="005610F8"/>
    <w:rsid w:val="00561CA6"/>
    <w:rsid w:val="00564E97"/>
    <w:rsid w:val="005653C4"/>
    <w:rsid w:val="00566A83"/>
    <w:rsid w:val="005764B9"/>
    <w:rsid w:val="00577B41"/>
    <w:rsid w:val="00580EE2"/>
    <w:rsid w:val="00586CE9"/>
    <w:rsid w:val="00591F82"/>
    <w:rsid w:val="0059629B"/>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6C44"/>
    <w:rsid w:val="005E1AF5"/>
    <w:rsid w:val="005E3085"/>
    <w:rsid w:val="005E4EC7"/>
    <w:rsid w:val="005E5433"/>
    <w:rsid w:val="005E5A26"/>
    <w:rsid w:val="005E73C7"/>
    <w:rsid w:val="005F1236"/>
    <w:rsid w:val="005F5D2E"/>
    <w:rsid w:val="005F5D92"/>
    <w:rsid w:val="005F7C2B"/>
    <w:rsid w:val="00600768"/>
    <w:rsid w:val="0060151E"/>
    <w:rsid w:val="0060225F"/>
    <w:rsid w:val="0060398A"/>
    <w:rsid w:val="00603DA7"/>
    <w:rsid w:val="00604582"/>
    <w:rsid w:val="006101CF"/>
    <w:rsid w:val="006170E1"/>
    <w:rsid w:val="00617159"/>
    <w:rsid w:val="00621733"/>
    <w:rsid w:val="00623D84"/>
    <w:rsid w:val="0062438F"/>
    <w:rsid w:val="0062530A"/>
    <w:rsid w:val="0062668A"/>
    <w:rsid w:val="00626DEA"/>
    <w:rsid w:val="00631228"/>
    <w:rsid w:val="00634485"/>
    <w:rsid w:val="0063576B"/>
    <w:rsid w:val="006364C2"/>
    <w:rsid w:val="00644269"/>
    <w:rsid w:val="00647E84"/>
    <w:rsid w:val="00652298"/>
    <w:rsid w:val="006526E6"/>
    <w:rsid w:val="00654870"/>
    <w:rsid w:val="00656E21"/>
    <w:rsid w:val="0065730C"/>
    <w:rsid w:val="00663143"/>
    <w:rsid w:val="006634F9"/>
    <w:rsid w:val="006638A1"/>
    <w:rsid w:val="0067588A"/>
    <w:rsid w:val="00676A20"/>
    <w:rsid w:val="00676F9F"/>
    <w:rsid w:val="00677B10"/>
    <w:rsid w:val="0068124D"/>
    <w:rsid w:val="006830FB"/>
    <w:rsid w:val="00683272"/>
    <w:rsid w:val="00685D2F"/>
    <w:rsid w:val="00686935"/>
    <w:rsid w:val="00686A8A"/>
    <w:rsid w:val="00687E13"/>
    <w:rsid w:val="00690914"/>
    <w:rsid w:val="006951DF"/>
    <w:rsid w:val="00695D91"/>
    <w:rsid w:val="006966DA"/>
    <w:rsid w:val="0069784D"/>
    <w:rsid w:val="00697BF4"/>
    <w:rsid w:val="006A1033"/>
    <w:rsid w:val="006A15D8"/>
    <w:rsid w:val="006A1780"/>
    <w:rsid w:val="006A69D4"/>
    <w:rsid w:val="006B08C8"/>
    <w:rsid w:val="006B18CE"/>
    <w:rsid w:val="006B3541"/>
    <w:rsid w:val="006B3C83"/>
    <w:rsid w:val="006B43CF"/>
    <w:rsid w:val="006C0F6B"/>
    <w:rsid w:val="006C15FD"/>
    <w:rsid w:val="006D3290"/>
    <w:rsid w:val="006D494B"/>
    <w:rsid w:val="006D6069"/>
    <w:rsid w:val="006E0567"/>
    <w:rsid w:val="006E21E9"/>
    <w:rsid w:val="006E23AC"/>
    <w:rsid w:val="006E5499"/>
    <w:rsid w:val="006E5F46"/>
    <w:rsid w:val="006E6389"/>
    <w:rsid w:val="006E7D82"/>
    <w:rsid w:val="006F009E"/>
    <w:rsid w:val="006F00F0"/>
    <w:rsid w:val="006F01F8"/>
    <w:rsid w:val="006F05C6"/>
    <w:rsid w:val="006F30F8"/>
    <w:rsid w:val="006F377B"/>
    <w:rsid w:val="006F6799"/>
    <w:rsid w:val="00701613"/>
    <w:rsid w:val="00704419"/>
    <w:rsid w:val="007072A6"/>
    <w:rsid w:val="00711E40"/>
    <w:rsid w:val="00715D7B"/>
    <w:rsid w:val="00721A45"/>
    <w:rsid w:val="00721C05"/>
    <w:rsid w:val="00722E96"/>
    <w:rsid w:val="0072358C"/>
    <w:rsid w:val="00723651"/>
    <w:rsid w:val="00724718"/>
    <w:rsid w:val="00727EC8"/>
    <w:rsid w:val="00731C38"/>
    <w:rsid w:val="00734B70"/>
    <w:rsid w:val="00735E7C"/>
    <w:rsid w:val="00736473"/>
    <w:rsid w:val="007368A0"/>
    <w:rsid w:val="00736C06"/>
    <w:rsid w:val="0073706D"/>
    <w:rsid w:val="00743800"/>
    <w:rsid w:val="00754F0B"/>
    <w:rsid w:val="00755508"/>
    <w:rsid w:val="00760811"/>
    <w:rsid w:val="0076141F"/>
    <w:rsid w:val="00763C29"/>
    <w:rsid w:val="00764252"/>
    <w:rsid w:val="00764327"/>
    <w:rsid w:val="007670B4"/>
    <w:rsid w:val="00771543"/>
    <w:rsid w:val="0077203A"/>
    <w:rsid w:val="007730D2"/>
    <w:rsid w:val="0077496D"/>
    <w:rsid w:val="00785B60"/>
    <w:rsid w:val="007907E7"/>
    <w:rsid w:val="007909AB"/>
    <w:rsid w:val="00795195"/>
    <w:rsid w:val="00795422"/>
    <w:rsid w:val="00797ACB"/>
    <w:rsid w:val="007A18BB"/>
    <w:rsid w:val="007A2B5F"/>
    <w:rsid w:val="007A3D28"/>
    <w:rsid w:val="007A4918"/>
    <w:rsid w:val="007A7013"/>
    <w:rsid w:val="007A7712"/>
    <w:rsid w:val="007A7B20"/>
    <w:rsid w:val="007B0449"/>
    <w:rsid w:val="007B1B92"/>
    <w:rsid w:val="007B282D"/>
    <w:rsid w:val="007B584D"/>
    <w:rsid w:val="007B7281"/>
    <w:rsid w:val="007C0D0C"/>
    <w:rsid w:val="007C12D4"/>
    <w:rsid w:val="007C1CC4"/>
    <w:rsid w:val="007C3045"/>
    <w:rsid w:val="007C7783"/>
    <w:rsid w:val="007C7994"/>
    <w:rsid w:val="007D1D57"/>
    <w:rsid w:val="007D6C06"/>
    <w:rsid w:val="007D77B9"/>
    <w:rsid w:val="007E0136"/>
    <w:rsid w:val="007E045F"/>
    <w:rsid w:val="007E11A5"/>
    <w:rsid w:val="007E27E3"/>
    <w:rsid w:val="007E4D6A"/>
    <w:rsid w:val="007E5791"/>
    <w:rsid w:val="007E7088"/>
    <w:rsid w:val="007E7CEB"/>
    <w:rsid w:val="007F09A2"/>
    <w:rsid w:val="007F1F39"/>
    <w:rsid w:val="007F528B"/>
    <w:rsid w:val="007F6B87"/>
    <w:rsid w:val="007F71D0"/>
    <w:rsid w:val="007F7861"/>
    <w:rsid w:val="00801FF7"/>
    <w:rsid w:val="0080388A"/>
    <w:rsid w:val="00803D96"/>
    <w:rsid w:val="0080415E"/>
    <w:rsid w:val="0080558F"/>
    <w:rsid w:val="00806437"/>
    <w:rsid w:val="00810B7D"/>
    <w:rsid w:val="00810BB2"/>
    <w:rsid w:val="00811492"/>
    <w:rsid w:val="0081629D"/>
    <w:rsid w:val="0082523D"/>
    <w:rsid w:val="00825EB2"/>
    <w:rsid w:val="0082612C"/>
    <w:rsid w:val="008266B9"/>
    <w:rsid w:val="008301CF"/>
    <w:rsid w:val="0083040F"/>
    <w:rsid w:val="008331EF"/>
    <w:rsid w:val="008332F3"/>
    <w:rsid w:val="00833E81"/>
    <w:rsid w:val="00834B0E"/>
    <w:rsid w:val="00840571"/>
    <w:rsid w:val="00840665"/>
    <w:rsid w:val="008433C4"/>
    <w:rsid w:val="00845368"/>
    <w:rsid w:val="00845AFC"/>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2AFC"/>
    <w:rsid w:val="00893080"/>
    <w:rsid w:val="008960BB"/>
    <w:rsid w:val="00896334"/>
    <w:rsid w:val="00896887"/>
    <w:rsid w:val="008A0D1F"/>
    <w:rsid w:val="008A1537"/>
    <w:rsid w:val="008A1C25"/>
    <w:rsid w:val="008A3400"/>
    <w:rsid w:val="008A5044"/>
    <w:rsid w:val="008A6036"/>
    <w:rsid w:val="008B06F5"/>
    <w:rsid w:val="008B4366"/>
    <w:rsid w:val="008B459E"/>
    <w:rsid w:val="008B63C3"/>
    <w:rsid w:val="008B6FBC"/>
    <w:rsid w:val="008C0B1E"/>
    <w:rsid w:val="008C2E3A"/>
    <w:rsid w:val="008C3674"/>
    <w:rsid w:val="008C66DA"/>
    <w:rsid w:val="008C7739"/>
    <w:rsid w:val="008D0197"/>
    <w:rsid w:val="008D1526"/>
    <w:rsid w:val="008D40F7"/>
    <w:rsid w:val="008D4F69"/>
    <w:rsid w:val="008D59A3"/>
    <w:rsid w:val="008E20E3"/>
    <w:rsid w:val="008E2132"/>
    <w:rsid w:val="008E64B7"/>
    <w:rsid w:val="008E6E98"/>
    <w:rsid w:val="008F0B17"/>
    <w:rsid w:val="008F1B75"/>
    <w:rsid w:val="008F57F9"/>
    <w:rsid w:val="008F6437"/>
    <w:rsid w:val="00900DFA"/>
    <w:rsid w:val="0090362C"/>
    <w:rsid w:val="009042FC"/>
    <w:rsid w:val="00904ED9"/>
    <w:rsid w:val="009079C4"/>
    <w:rsid w:val="009079DC"/>
    <w:rsid w:val="009121CF"/>
    <w:rsid w:val="0091273B"/>
    <w:rsid w:val="00912D93"/>
    <w:rsid w:val="00914F3A"/>
    <w:rsid w:val="0092306A"/>
    <w:rsid w:val="00924451"/>
    <w:rsid w:val="00924461"/>
    <w:rsid w:val="009251B9"/>
    <w:rsid w:val="00925836"/>
    <w:rsid w:val="00926432"/>
    <w:rsid w:val="00926647"/>
    <w:rsid w:val="00930747"/>
    <w:rsid w:val="009316A3"/>
    <w:rsid w:val="009323D4"/>
    <w:rsid w:val="00932904"/>
    <w:rsid w:val="00935A0D"/>
    <w:rsid w:val="00937A4D"/>
    <w:rsid w:val="00940311"/>
    <w:rsid w:val="0094116E"/>
    <w:rsid w:val="009413B1"/>
    <w:rsid w:val="00942EE5"/>
    <w:rsid w:val="0094477A"/>
    <w:rsid w:val="00944CA2"/>
    <w:rsid w:val="00947736"/>
    <w:rsid w:val="00951450"/>
    <w:rsid w:val="00951A45"/>
    <w:rsid w:val="0096195A"/>
    <w:rsid w:val="00961C68"/>
    <w:rsid w:val="00962BBA"/>
    <w:rsid w:val="00971658"/>
    <w:rsid w:val="00971BD9"/>
    <w:rsid w:val="009730C5"/>
    <w:rsid w:val="00973896"/>
    <w:rsid w:val="00975EB9"/>
    <w:rsid w:val="00976DA1"/>
    <w:rsid w:val="009837D3"/>
    <w:rsid w:val="009838AF"/>
    <w:rsid w:val="00984078"/>
    <w:rsid w:val="00984615"/>
    <w:rsid w:val="00985DC0"/>
    <w:rsid w:val="009879C0"/>
    <w:rsid w:val="00987C1B"/>
    <w:rsid w:val="00990BCF"/>
    <w:rsid w:val="00991BC6"/>
    <w:rsid w:val="009952A4"/>
    <w:rsid w:val="009961B4"/>
    <w:rsid w:val="00996CC5"/>
    <w:rsid w:val="00997258"/>
    <w:rsid w:val="009A136C"/>
    <w:rsid w:val="009A1810"/>
    <w:rsid w:val="009A23A6"/>
    <w:rsid w:val="009A2F11"/>
    <w:rsid w:val="009A646C"/>
    <w:rsid w:val="009A7B5A"/>
    <w:rsid w:val="009B1592"/>
    <w:rsid w:val="009B1B4F"/>
    <w:rsid w:val="009B21C8"/>
    <w:rsid w:val="009B5258"/>
    <w:rsid w:val="009B5C0F"/>
    <w:rsid w:val="009B5D9D"/>
    <w:rsid w:val="009C02B7"/>
    <w:rsid w:val="009C02EB"/>
    <w:rsid w:val="009C03F5"/>
    <w:rsid w:val="009C2616"/>
    <w:rsid w:val="009C44FE"/>
    <w:rsid w:val="009C4AB8"/>
    <w:rsid w:val="009C635B"/>
    <w:rsid w:val="009C7500"/>
    <w:rsid w:val="009D181C"/>
    <w:rsid w:val="009D2C3E"/>
    <w:rsid w:val="009D4854"/>
    <w:rsid w:val="009D4E4B"/>
    <w:rsid w:val="009D55F7"/>
    <w:rsid w:val="009D7109"/>
    <w:rsid w:val="009E0BD8"/>
    <w:rsid w:val="009E5A7D"/>
    <w:rsid w:val="009E7D87"/>
    <w:rsid w:val="009F0EDE"/>
    <w:rsid w:val="009F1363"/>
    <w:rsid w:val="009F3A94"/>
    <w:rsid w:val="009F459A"/>
    <w:rsid w:val="009F7CD6"/>
    <w:rsid w:val="00A0109D"/>
    <w:rsid w:val="00A03C08"/>
    <w:rsid w:val="00A0600E"/>
    <w:rsid w:val="00A06445"/>
    <w:rsid w:val="00A07EBA"/>
    <w:rsid w:val="00A114AA"/>
    <w:rsid w:val="00A12C94"/>
    <w:rsid w:val="00A13C93"/>
    <w:rsid w:val="00A17788"/>
    <w:rsid w:val="00A17B8D"/>
    <w:rsid w:val="00A20319"/>
    <w:rsid w:val="00A21121"/>
    <w:rsid w:val="00A22828"/>
    <w:rsid w:val="00A229B4"/>
    <w:rsid w:val="00A25B2C"/>
    <w:rsid w:val="00A34CB7"/>
    <w:rsid w:val="00A36876"/>
    <w:rsid w:val="00A41A76"/>
    <w:rsid w:val="00A44ECA"/>
    <w:rsid w:val="00A55DA6"/>
    <w:rsid w:val="00A57155"/>
    <w:rsid w:val="00A60EB7"/>
    <w:rsid w:val="00A64716"/>
    <w:rsid w:val="00A66202"/>
    <w:rsid w:val="00A70C2A"/>
    <w:rsid w:val="00A711BD"/>
    <w:rsid w:val="00A726E7"/>
    <w:rsid w:val="00A74766"/>
    <w:rsid w:val="00A76798"/>
    <w:rsid w:val="00A77719"/>
    <w:rsid w:val="00A80FAC"/>
    <w:rsid w:val="00A81140"/>
    <w:rsid w:val="00A8620C"/>
    <w:rsid w:val="00A87E6F"/>
    <w:rsid w:val="00A87F94"/>
    <w:rsid w:val="00A909B9"/>
    <w:rsid w:val="00A91D61"/>
    <w:rsid w:val="00A91F41"/>
    <w:rsid w:val="00A93331"/>
    <w:rsid w:val="00A939F1"/>
    <w:rsid w:val="00A9446C"/>
    <w:rsid w:val="00A978C1"/>
    <w:rsid w:val="00AA078B"/>
    <w:rsid w:val="00AA2543"/>
    <w:rsid w:val="00AA2ECB"/>
    <w:rsid w:val="00AA544A"/>
    <w:rsid w:val="00AA6AE1"/>
    <w:rsid w:val="00AA6B72"/>
    <w:rsid w:val="00AB1CB2"/>
    <w:rsid w:val="00AB3A1F"/>
    <w:rsid w:val="00AB3ABF"/>
    <w:rsid w:val="00AB6258"/>
    <w:rsid w:val="00AC028B"/>
    <w:rsid w:val="00AC3CF9"/>
    <w:rsid w:val="00AC655D"/>
    <w:rsid w:val="00AC73A3"/>
    <w:rsid w:val="00AD172C"/>
    <w:rsid w:val="00AD3372"/>
    <w:rsid w:val="00AD55F4"/>
    <w:rsid w:val="00AD60C5"/>
    <w:rsid w:val="00AD6ECC"/>
    <w:rsid w:val="00AE2380"/>
    <w:rsid w:val="00AE2B68"/>
    <w:rsid w:val="00AE49D8"/>
    <w:rsid w:val="00AE600C"/>
    <w:rsid w:val="00AF03F7"/>
    <w:rsid w:val="00AF0A24"/>
    <w:rsid w:val="00AF12D4"/>
    <w:rsid w:val="00AF15C7"/>
    <w:rsid w:val="00AF1BDB"/>
    <w:rsid w:val="00AF2212"/>
    <w:rsid w:val="00AF247E"/>
    <w:rsid w:val="00AF4962"/>
    <w:rsid w:val="00AF736E"/>
    <w:rsid w:val="00B0036A"/>
    <w:rsid w:val="00B0115D"/>
    <w:rsid w:val="00B01C83"/>
    <w:rsid w:val="00B0356B"/>
    <w:rsid w:val="00B05920"/>
    <w:rsid w:val="00B10826"/>
    <w:rsid w:val="00B10CD5"/>
    <w:rsid w:val="00B12F18"/>
    <w:rsid w:val="00B132B4"/>
    <w:rsid w:val="00B2395D"/>
    <w:rsid w:val="00B32540"/>
    <w:rsid w:val="00B33A3B"/>
    <w:rsid w:val="00B41457"/>
    <w:rsid w:val="00B419B1"/>
    <w:rsid w:val="00B44C5B"/>
    <w:rsid w:val="00B44E49"/>
    <w:rsid w:val="00B45FDA"/>
    <w:rsid w:val="00B4631A"/>
    <w:rsid w:val="00B52835"/>
    <w:rsid w:val="00B54AAC"/>
    <w:rsid w:val="00B54DA0"/>
    <w:rsid w:val="00B573A5"/>
    <w:rsid w:val="00B61485"/>
    <w:rsid w:val="00B62C56"/>
    <w:rsid w:val="00B63035"/>
    <w:rsid w:val="00B63E00"/>
    <w:rsid w:val="00B66243"/>
    <w:rsid w:val="00B66292"/>
    <w:rsid w:val="00B75FCC"/>
    <w:rsid w:val="00B81B6F"/>
    <w:rsid w:val="00B91B25"/>
    <w:rsid w:val="00B941E0"/>
    <w:rsid w:val="00B94ECC"/>
    <w:rsid w:val="00B967A9"/>
    <w:rsid w:val="00BA376A"/>
    <w:rsid w:val="00BA4680"/>
    <w:rsid w:val="00BA4DE4"/>
    <w:rsid w:val="00BA6812"/>
    <w:rsid w:val="00BA6FA3"/>
    <w:rsid w:val="00BA7EAC"/>
    <w:rsid w:val="00BB2F04"/>
    <w:rsid w:val="00BB7434"/>
    <w:rsid w:val="00BC0588"/>
    <w:rsid w:val="00BC3B3A"/>
    <w:rsid w:val="00BC53C8"/>
    <w:rsid w:val="00BC7951"/>
    <w:rsid w:val="00BD410A"/>
    <w:rsid w:val="00BD441C"/>
    <w:rsid w:val="00BD4A22"/>
    <w:rsid w:val="00BD5234"/>
    <w:rsid w:val="00BD7483"/>
    <w:rsid w:val="00BD77B8"/>
    <w:rsid w:val="00BD7CD9"/>
    <w:rsid w:val="00BE207E"/>
    <w:rsid w:val="00BE3612"/>
    <w:rsid w:val="00BE3B71"/>
    <w:rsid w:val="00BE540E"/>
    <w:rsid w:val="00BF0C44"/>
    <w:rsid w:val="00BF2A03"/>
    <w:rsid w:val="00BF370A"/>
    <w:rsid w:val="00BF38B2"/>
    <w:rsid w:val="00BF3F78"/>
    <w:rsid w:val="00BF4AAD"/>
    <w:rsid w:val="00BF61CA"/>
    <w:rsid w:val="00BF61FC"/>
    <w:rsid w:val="00BF7B9A"/>
    <w:rsid w:val="00BF7DA6"/>
    <w:rsid w:val="00C0163B"/>
    <w:rsid w:val="00C024B4"/>
    <w:rsid w:val="00C13D6C"/>
    <w:rsid w:val="00C14928"/>
    <w:rsid w:val="00C16D19"/>
    <w:rsid w:val="00C208B6"/>
    <w:rsid w:val="00C20B89"/>
    <w:rsid w:val="00C23332"/>
    <w:rsid w:val="00C240DC"/>
    <w:rsid w:val="00C257DD"/>
    <w:rsid w:val="00C26AEC"/>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18DB"/>
    <w:rsid w:val="00C841D9"/>
    <w:rsid w:val="00C85E26"/>
    <w:rsid w:val="00C87203"/>
    <w:rsid w:val="00C8734B"/>
    <w:rsid w:val="00C944F9"/>
    <w:rsid w:val="00C94EA7"/>
    <w:rsid w:val="00CA1645"/>
    <w:rsid w:val="00CA172F"/>
    <w:rsid w:val="00CA24B4"/>
    <w:rsid w:val="00CA4BED"/>
    <w:rsid w:val="00CA4E9B"/>
    <w:rsid w:val="00CA5FA7"/>
    <w:rsid w:val="00CA6914"/>
    <w:rsid w:val="00CA71D7"/>
    <w:rsid w:val="00CB06F0"/>
    <w:rsid w:val="00CB4725"/>
    <w:rsid w:val="00CB48AF"/>
    <w:rsid w:val="00CC08A9"/>
    <w:rsid w:val="00CC0977"/>
    <w:rsid w:val="00CC4293"/>
    <w:rsid w:val="00CD0312"/>
    <w:rsid w:val="00CD472A"/>
    <w:rsid w:val="00CE3657"/>
    <w:rsid w:val="00CE7F4A"/>
    <w:rsid w:val="00CF0100"/>
    <w:rsid w:val="00CF44F2"/>
    <w:rsid w:val="00CF5360"/>
    <w:rsid w:val="00CF555B"/>
    <w:rsid w:val="00CF623E"/>
    <w:rsid w:val="00D004B1"/>
    <w:rsid w:val="00D00629"/>
    <w:rsid w:val="00D0143F"/>
    <w:rsid w:val="00D01B2A"/>
    <w:rsid w:val="00D040EA"/>
    <w:rsid w:val="00D068E5"/>
    <w:rsid w:val="00D07FBE"/>
    <w:rsid w:val="00D129B8"/>
    <w:rsid w:val="00D13DB5"/>
    <w:rsid w:val="00D1421D"/>
    <w:rsid w:val="00D17E59"/>
    <w:rsid w:val="00D20477"/>
    <w:rsid w:val="00D21F8C"/>
    <w:rsid w:val="00D262BB"/>
    <w:rsid w:val="00D27239"/>
    <w:rsid w:val="00D279D5"/>
    <w:rsid w:val="00D27A6E"/>
    <w:rsid w:val="00D27DE6"/>
    <w:rsid w:val="00D30134"/>
    <w:rsid w:val="00D335D0"/>
    <w:rsid w:val="00D349FB"/>
    <w:rsid w:val="00D364F1"/>
    <w:rsid w:val="00D372EC"/>
    <w:rsid w:val="00D37816"/>
    <w:rsid w:val="00D42905"/>
    <w:rsid w:val="00D44C5C"/>
    <w:rsid w:val="00D44D22"/>
    <w:rsid w:val="00D45A6B"/>
    <w:rsid w:val="00D45CBD"/>
    <w:rsid w:val="00D4642F"/>
    <w:rsid w:val="00D47566"/>
    <w:rsid w:val="00D47D0C"/>
    <w:rsid w:val="00D54E7A"/>
    <w:rsid w:val="00D56842"/>
    <w:rsid w:val="00D61F2D"/>
    <w:rsid w:val="00D62018"/>
    <w:rsid w:val="00D63459"/>
    <w:rsid w:val="00D65352"/>
    <w:rsid w:val="00D673D5"/>
    <w:rsid w:val="00D7036B"/>
    <w:rsid w:val="00D71FB6"/>
    <w:rsid w:val="00D73A56"/>
    <w:rsid w:val="00D766D9"/>
    <w:rsid w:val="00D766F2"/>
    <w:rsid w:val="00D823C6"/>
    <w:rsid w:val="00D8246A"/>
    <w:rsid w:val="00D829B9"/>
    <w:rsid w:val="00D918D4"/>
    <w:rsid w:val="00D93F72"/>
    <w:rsid w:val="00D94CF7"/>
    <w:rsid w:val="00D9525C"/>
    <w:rsid w:val="00DA2187"/>
    <w:rsid w:val="00DB01A1"/>
    <w:rsid w:val="00DB32C4"/>
    <w:rsid w:val="00DB500B"/>
    <w:rsid w:val="00DB571A"/>
    <w:rsid w:val="00DB7309"/>
    <w:rsid w:val="00DB7D54"/>
    <w:rsid w:val="00DC1E0E"/>
    <w:rsid w:val="00DC2F18"/>
    <w:rsid w:val="00DC46A7"/>
    <w:rsid w:val="00DC4CB4"/>
    <w:rsid w:val="00DD36DC"/>
    <w:rsid w:val="00DD3BAC"/>
    <w:rsid w:val="00DD43B7"/>
    <w:rsid w:val="00DD60B9"/>
    <w:rsid w:val="00DD6120"/>
    <w:rsid w:val="00DD7119"/>
    <w:rsid w:val="00DD7F73"/>
    <w:rsid w:val="00DE0BC1"/>
    <w:rsid w:val="00DE13A6"/>
    <w:rsid w:val="00DE4EE6"/>
    <w:rsid w:val="00DE5262"/>
    <w:rsid w:val="00DE5807"/>
    <w:rsid w:val="00DE7D42"/>
    <w:rsid w:val="00DF0DBB"/>
    <w:rsid w:val="00DF1EDA"/>
    <w:rsid w:val="00DF204A"/>
    <w:rsid w:val="00DF2EE7"/>
    <w:rsid w:val="00E00211"/>
    <w:rsid w:val="00E01A8B"/>
    <w:rsid w:val="00E029F0"/>
    <w:rsid w:val="00E0421F"/>
    <w:rsid w:val="00E1232F"/>
    <w:rsid w:val="00E130D3"/>
    <w:rsid w:val="00E17223"/>
    <w:rsid w:val="00E21836"/>
    <w:rsid w:val="00E218FD"/>
    <w:rsid w:val="00E22A00"/>
    <w:rsid w:val="00E24032"/>
    <w:rsid w:val="00E27C19"/>
    <w:rsid w:val="00E27CED"/>
    <w:rsid w:val="00E32977"/>
    <w:rsid w:val="00E37CCA"/>
    <w:rsid w:val="00E41E3C"/>
    <w:rsid w:val="00E43221"/>
    <w:rsid w:val="00E43B93"/>
    <w:rsid w:val="00E44D06"/>
    <w:rsid w:val="00E45246"/>
    <w:rsid w:val="00E4569E"/>
    <w:rsid w:val="00E50442"/>
    <w:rsid w:val="00E51E3E"/>
    <w:rsid w:val="00E51F48"/>
    <w:rsid w:val="00E538EE"/>
    <w:rsid w:val="00E61533"/>
    <w:rsid w:val="00E616BB"/>
    <w:rsid w:val="00E62C83"/>
    <w:rsid w:val="00E64FC8"/>
    <w:rsid w:val="00E65F50"/>
    <w:rsid w:val="00E663C2"/>
    <w:rsid w:val="00E7083D"/>
    <w:rsid w:val="00E74ADC"/>
    <w:rsid w:val="00E75BD1"/>
    <w:rsid w:val="00E8094D"/>
    <w:rsid w:val="00E84D0C"/>
    <w:rsid w:val="00E855EB"/>
    <w:rsid w:val="00E86E4F"/>
    <w:rsid w:val="00E91E1D"/>
    <w:rsid w:val="00E91EC5"/>
    <w:rsid w:val="00E96B25"/>
    <w:rsid w:val="00E97D4C"/>
    <w:rsid w:val="00EA127D"/>
    <w:rsid w:val="00EA2739"/>
    <w:rsid w:val="00EA36D3"/>
    <w:rsid w:val="00EA42B0"/>
    <w:rsid w:val="00EA47B0"/>
    <w:rsid w:val="00EA5E51"/>
    <w:rsid w:val="00EA67A9"/>
    <w:rsid w:val="00EB1808"/>
    <w:rsid w:val="00EB2C90"/>
    <w:rsid w:val="00EB49E8"/>
    <w:rsid w:val="00EB4E95"/>
    <w:rsid w:val="00EB6513"/>
    <w:rsid w:val="00EB70B4"/>
    <w:rsid w:val="00EB71E4"/>
    <w:rsid w:val="00EC0064"/>
    <w:rsid w:val="00EC02AA"/>
    <w:rsid w:val="00EC1A67"/>
    <w:rsid w:val="00EC5842"/>
    <w:rsid w:val="00EC61EA"/>
    <w:rsid w:val="00EC69F7"/>
    <w:rsid w:val="00ED0428"/>
    <w:rsid w:val="00ED456A"/>
    <w:rsid w:val="00ED63B2"/>
    <w:rsid w:val="00EE234C"/>
    <w:rsid w:val="00EE3F2B"/>
    <w:rsid w:val="00EE6748"/>
    <w:rsid w:val="00EF35A8"/>
    <w:rsid w:val="00EF4435"/>
    <w:rsid w:val="00EF7A7F"/>
    <w:rsid w:val="00F0086D"/>
    <w:rsid w:val="00F03889"/>
    <w:rsid w:val="00F04354"/>
    <w:rsid w:val="00F078A6"/>
    <w:rsid w:val="00F15A20"/>
    <w:rsid w:val="00F16F9E"/>
    <w:rsid w:val="00F20C33"/>
    <w:rsid w:val="00F212D2"/>
    <w:rsid w:val="00F21F38"/>
    <w:rsid w:val="00F22C03"/>
    <w:rsid w:val="00F22D69"/>
    <w:rsid w:val="00F233F5"/>
    <w:rsid w:val="00F238A4"/>
    <w:rsid w:val="00F25E0B"/>
    <w:rsid w:val="00F2719D"/>
    <w:rsid w:val="00F27FE0"/>
    <w:rsid w:val="00F300A4"/>
    <w:rsid w:val="00F30368"/>
    <w:rsid w:val="00F31344"/>
    <w:rsid w:val="00F318C9"/>
    <w:rsid w:val="00F320F9"/>
    <w:rsid w:val="00F416F1"/>
    <w:rsid w:val="00F42056"/>
    <w:rsid w:val="00F42A20"/>
    <w:rsid w:val="00F448AA"/>
    <w:rsid w:val="00F462C7"/>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91CEB"/>
    <w:rsid w:val="00FA362E"/>
    <w:rsid w:val="00FA62D8"/>
    <w:rsid w:val="00FA69FB"/>
    <w:rsid w:val="00FA7D29"/>
    <w:rsid w:val="00FB3B77"/>
    <w:rsid w:val="00FB4712"/>
    <w:rsid w:val="00FB47F6"/>
    <w:rsid w:val="00FB48D6"/>
    <w:rsid w:val="00FB6933"/>
    <w:rsid w:val="00FB7797"/>
    <w:rsid w:val="00FC10CB"/>
    <w:rsid w:val="00FC19E9"/>
    <w:rsid w:val="00FC29DA"/>
    <w:rsid w:val="00FC74D3"/>
    <w:rsid w:val="00FD38B8"/>
    <w:rsid w:val="00FD5E90"/>
    <w:rsid w:val="00FD7CED"/>
    <w:rsid w:val="00FE0438"/>
    <w:rsid w:val="00FE04C0"/>
    <w:rsid w:val="00FE0F52"/>
    <w:rsid w:val="00FE576C"/>
    <w:rsid w:val="00FE78FB"/>
    <w:rsid w:val="00FF0A48"/>
    <w:rsid w:val="00FF1505"/>
    <w:rsid w:val="00FF2434"/>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55FB995-C07F-4C70-86B8-F5ED1857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366153"/>
    <w:pPr>
      <w:autoSpaceDE w:val="0"/>
      <w:autoSpaceDN w:val="0"/>
      <w:adjustRightInd w:val="0"/>
      <w:ind w:left="40"/>
    </w:pPr>
    <w:rPr>
      <w:rFonts w:ascii="Tahoma" w:eastAsiaTheme="minorEastAsia" w:hAnsi="Tahoma" w:cs="Tahoma"/>
      <w:sz w:val="20"/>
      <w:szCs w:val="20"/>
      <w:lang w:val="es-MX"/>
    </w:rPr>
  </w:style>
  <w:style w:type="character" w:customStyle="1" w:styleId="TextoindependienteCar">
    <w:name w:val="Texto independiente Car"/>
    <w:basedOn w:val="Fuentedeprrafopredeter"/>
    <w:link w:val="Textoindependiente"/>
    <w:uiPriority w:val="1"/>
    <w:rsid w:val="00366153"/>
    <w:rPr>
      <w:rFonts w:ascii="Tahoma" w:hAnsi="Tahoma" w:cs="Tahoma"/>
      <w:sz w:val="20"/>
      <w:szCs w:val="20"/>
      <w:lang w:val="es-MX"/>
    </w:rPr>
  </w:style>
  <w:style w:type="character" w:customStyle="1" w:styleId="apple-style-span">
    <w:name w:val="apple-style-span"/>
    <w:rsid w:val="00C0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66844254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7403771">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FB7F-7D06-4C13-BCE5-D8B84D07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36</Pages>
  <Words>8954</Words>
  <Characters>49249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26</cp:revision>
  <cp:lastPrinted>2019-01-21T15:33:00Z</cp:lastPrinted>
  <dcterms:created xsi:type="dcterms:W3CDTF">2018-12-18T16:37:00Z</dcterms:created>
  <dcterms:modified xsi:type="dcterms:W3CDTF">2019-02-14T17:37:00Z</dcterms:modified>
</cp:coreProperties>
</file>